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EF8" w:rsidRPr="00C87AEC" w:rsidRDefault="00752EF8" w:rsidP="00752EF8">
      <w:pPr>
        <w:spacing w:after="120" w:line="288" w:lineRule="auto"/>
        <w:jc w:val="center"/>
        <w:rPr>
          <w:rFonts w:ascii="TUOS Blake" w:hAnsi="TUOS Blake" w:cs="Arial"/>
          <w:b/>
          <w:sz w:val="22"/>
          <w:szCs w:val="22"/>
          <w:lang w:val="en-US" w:eastAsia="en-GB"/>
        </w:rPr>
      </w:pPr>
      <w:bookmarkStart w:id="0" w:name="_GoBack"/>
      <w:bookmarkEnd w:id="0"/>
      <w:r w:rsidRPr="00C87AEC">
        <w:rPr>
          <w:rFonts w:ascii="TUOS Blake" w:hAnsi="TUOS Blake" w:cs="Arial"/>
          <w:b/>
          <w:sz w:val="22"/>
          <w:szCs w:val="22"/>
          <w:lang w:val="en-US" w:eastAsia="en-GB"/>
        </w:rPr>
        <w:t xml:space="preserve">Comparing the effect of tacrolimus (0.1%) ointment and betamethasone (0.1%) </w:t>
      </w:r>
      <w:proofErr w:type="spellStart"/>
      <w:r w:rsidRPr="00C87AEC">
        <w:rPr>
          <w:rFonts w:ascii="TUOS Blake" w:hAnsi="TUOS Blake" w:cs="Arial"/>
          <w:b/>
          <w:sz w:val="22"/>
          <w:szCs w:val="22"/>
          <w:lang w:val="en-US" w:eastAsia="en-GB"/>
        </w:rPr>
        <w:t>valerate</w:t>
      </w:r>
      <w:proofErr w:type="spellEnd"/>
      <w:r w:rsidRPr="00C87AEC">
        <w:rPr>
          <w:rFonts w:ascii="TUOS Blake" w:hAnsi="TUOS Blake" w:cs="Arial"/>
          <w:b/>
          <w:sz w:val="22"/>
          <w:szCs w:val="22"/>
          <w:lang w:val="en-US" w:eastAsia="en-GB"/>
        </w:rPr>
        <w:t xml:space="preserve"> on the epidermal barrier: a twice-weekly maintenance dose</w:t>
      </w:r>
    </w:p>
    <w:p w:rsidR="00752EF8" w:rsidRPr="00C87AEC" w:rsidRDefault="00752EF8" w:rsidP="00752EF8">
      <w:pPr>
        <w:spacing w:after="240" w:line="288" w:lineRule="auto"/>
        <w:jc w:val="center"/>
        <w:rPr>
          <w:rFonts w:ascii="TUOS Blake" w:hAnsi="TUOS Blake" w:cs="Arial"/>
          <w:sz w:val="20"/>
          <w:szCs w:val="20"/>
          <w:lang w:val="en-US" w:eastAsia="en-GB"/>
        </w:rPr>
      </w:pPr>
      <w:r w:rsidRPr="00C87AEC">
        <w:rPr>
          <w:rFonts w:ascii="TUOS Blake" w:hAnsi="TUOS Blake" w:cs="Arial"/>
          <w:sz w:val="20"/>
          <w:szCs w:val="20"/>
          <w:lang w:val="en-US" w:eastAsia="en-GB"/>
        </w:rPr>
        <w:t>23</w:t>
      </w:r>
      <w:r w:rsidRPr="00C87AEC">
        <w:rPr>
          <w:rFonts w:ascii="TUOS Blake" w:hAnsi="TUOS Blake" w:cs="Arial"/>
          <w:sz w:val="20"/>
          <w:szCs w:val="20"/>
          <w:vertAlign w:val="superscript"/>
          <w:lang w:val="en-US" w:eastAsia="en-GB"/>
        </w:rPr>
        <w:t>rd</w:t>
      </w:r>
      <w:r w:rsidRPr="00C87AEC">
        <w:rPr>
          <w:rFonts w:ascii="TUOS Blake" w:hAnsi="TUOS Blake" w:cs="Arial"/>
          <w:sz w:val="20"/>
          <w:szCs w:val="20"/>
          <w:lang w:val="en-US" w:eastAsia="en-GB"/>
        </w:rPr>
        <w:t xml:space="preserve"> Wo</w:t>
      </w:r>
      <w:r>
        <w:rPr>
          <w:rFonts w:ascii="TUOS Blake" w:hAnsi="TUOS Blake" w:cs="Arial"/>
          <w:sz w:val="20"/>
          <w:szCs w:val="20"/>
          <w:lang w:val="en-US" w:eastAsia="en-GB"/>
        </w:rPr>
        <w:t>rld Congress of Dermatology 2015</w:t>
      </w:r>
      <w:r w:rsidRPr="00C87AEC">
        <w:rPr>
          <w:rFonts w:ascii="TUOS Blake" w:hAnsi="TUOS Blake" w:cs="Arial"/>
          <w:sz w:val="20"/>
          <w:szCs w:val="20"/>
          <w:lang w:val="en-US" w:eastAsia="en-GB"/>
        </w:rPr>
        <w:t>, Vancouver, Canada</w:t>
      </w:r>
    </w:p>
    <w:p w:rsidR="00752EF8" w:rsidRPr="00C87AEC" w:rsidRDefault="00752EF8" w:rsidP="00752EF8">
      <w:pPr>
        <w:spacing w:after="120" w:line="288" w:lineRule="auto"/>
        <w:jc w:val="both"/>
        <w:rPr>
          <w:rFonts w:ascii="TUOS Blake" w:hAnsi="TUOS Blake" w:cs="Arial"/>
          <w:b/>
          <w:sz w:val="22"/>
          <w:szCs w:val="22"/>
          <w:lang w:val="en-US" w:eastAsia="en-GB"/>
        </w:rPr>
      </w:pPr>
      <w:r w:rsidRPr="00C87AEC">
        <w:rPr>
          <w:rFonts w:ascii="TUOS Blake" w:hAnsi="TUOS Blake" w:cs="Arial"/>
          <w:b/>
          <w:sz w:val="22"/>
          <w:szCs w:val="22"/>
        </w:rPr>
        <w:t xml:space="preserve">Background: </w:t>
      </w:r>
      <w:r w:rsidRPr="00C87AEC">
        <w:rPr>
          <w:rFonts w:ascii="TUOS Blake" w:hAnsi="TUOS Blake" w:cs="Arial"/>
          <w:sz w:val="22"/>
          <w:szCs w:val="22"/>
        </w:rPr>
        <w:t>The proactive use of topical anti-inflammatories is an effective method of addressing the subclinical inflammation associated with the remission phase of atopic dermatitis (AD). To date, the interaction of this treatment dose with the subclinical epidermal barrier defect in AD is yet to be determined.</w:t>
      </w:r>
    </w:p>
    <w:p w:rsidR="00752EF8" w:rsidRPr="00C87AEC" w:rsidRDefault="00752EF8" w:rsidP="00752EF8">
      <w:pPr>
        <w:spacing w:after="120" w:line="288" w:lineRule="auto"/>
        <w:jc w:val="both"/>
        <w:rPr>
          <w:rFonts w:ascii="TUOS Blake" w:hAnsi="TUOS Blake" w:cs="Arial"/>
          <w:b/>
          <w:sz w:val="22"/>
          <w:szCs w:val="22"/>
        </w:rPr>
      </w:pPr>
      <w:r w:rsidRPr="00C87AEC">
        <w:rPr>
          <w:rFonts w:ascii="TUOS Blake" w:hAnsi="TUOS Blake" w:cs="Arial"/>
          <w:b/>
          <w:sz w:val="22"/>
          <w:szCs w:val="22"/>
        </w:rPr>
        <w:t xml:space="preserve">Objective: </w:t>
      </w:r>
      <w:r w:rsidRPr="00C87AEC">
        <w:rPr>
          <w:rFonts w:ascii="TUOS Blake" w:hAnsi="TUOS Blake" w:cs="Arial"/>
          <w:sz w:val="22"/>
          <w:szCs w:val="22"/>
        </w:rPr>
        <w:t xml:space="preserve">To compare the effect of a proactive topical corticosteroid dose against an equivalent topical </w:t>
      </w:r>
      <w:proofErr w:type="spellStart"/>
      <w:r w:rsidRPr="00C87AEC">
        <w:rPr>
          <w:rFonts w:ascii="TUOS Blake" w:hAnsi="TUOS Blake" w:cs="Arial"/>
          <w:sz w:val="22"/>
          <w:szCs w:val="22"/>
        </w:rPr>
        <w:t>calcineurin</w:t>
      </w:r>
      <w:proofErr w:type="spellEnd"/>
      <w:r w:rsidRPr="00C87AEC">
        <w:rPr>
          <w:rFonts w:ascii="TUOS Blake" w:hAnsi="TUOS Blake" w:cs="Arial"/>
          <w:sz w:val="22"/>
          <w:szCs w:val="22"/>
        </w:rPr>
        <w:t xml:space="preserve"> inhibitor dose on the biophysical and biological properties of the epidermal barrier.</w:t>
      </w:r>
    </w:p>
    <w:p w:rsidR="00752EF8" w:rsidRPr="00C87AEC" w:rsidRDefault="00752EF8" w:rsidP="00752EF8">
      <w:pPr>
        <w:spacing w:after="120" w:line="288" w:lineRule="auto"/>
        <w:jc w:val="both"/>
        <w:rPr>
          <w:rFonts w:ascii="TUOS Blake" w:hAnsi="TUOS Blake" w:cs="Arial"/>
          <w:sz w:val="22"/>
          <w:szCs w:val="22"/>
        </w:rPr>
      </w:pPr>
      <w:r w:rsidRPr="00C87AEC">
        <w:rPr>
          <w:rFonts w:ascii="TUOS Blake" w:hAnsi="TUOS Blake" w:cs="Arial"/>
          <w:b/>
          <w:sz w:val="22"/>
          <w:szCs w:val="22"/>
        </w:rPr>
        <w:t xml:space="preserve">Methods: </w:t>
      </w:r>
      <w:r w:rsidRPr="00C87AEC">
        <w:rPr>
          <w:rFonts w:ascii="TUOS Blake" w:hAnsi="TUOS Blake" w:cs="Arial"/>
          <w:sz w:val="22"/>
          <w:szCs w:val="22"/>
        </w:rPr>
        <w:t xml:space="preserve">A randomised, observer-blind, functional mechanistic study was performed in seventeen volunteers with quiescent AD, whereby two fingertip units of betamethasone </w:t>
      </w:r>
      <w:proofErr w:type="spellStart"/>
      <w:r w:rsidRPr="00C87AEC">
        <w:rPr>
          <w:rFonts w:ascii="TUOS Blake" w:hAnsi="TUOS Blake" w:cs="Arial"/>
          <w:sz w:val="22"/>
          <w:szCs w:val="22"/>
        </w:rPr>
        <w:t>valerate</w:t>
      </w:r>
      <w:proofErr w:type="spellEnd"/>
      <w:r w:rsidRPr="00C87AEC">
        <w:rPr>
          <w:rFonts w:ascii="TUOS Blake" w:hAnsi="TUOS Blake" w:cs="Arial"/>
          <w:sz w:val="22"/>
          <w:szCs w:val="22"/>
        </w:rPr>
        <w:t xml:space="preserve"> (0.1%) cream (</w:t>
      </w:r>
      <w:proofErr w:type="spellStart"/>
      <w:r w:rsidRPr="00C87AEC">
        <w:rPr>
          <w:rFonts w:ascii="TUOS Blake" w:hAnsi="TUOS Blake" w:cs="Arial"/>
          <w:sz w:val="22"/>
          <w:szCs w:val="22"/>
        </w:rPr>
        <w:t>BMVc</w:t>
      </w:r>
      <w:proofErr w:type="spellEnd"/>
      <w:r w:rsidRPr="00C87AEC">
        <w:rPr>
          <w:rFonts w:ascii="TUOS Blake" w:hAnsi="TUOS Blake" w:cs="Arial"/>
          <w:sz w:val="22"/>
          <w:szCs w:val="22"/>
        </w:rPr>
        <w:t>) was applied to one forearm, and the same dose of tacrolimus (0.1%) ointment (</w:t>
      </w:r>
      <w:proofErr w:type="spellStart"/>
      <w:r w:rsidRPr="00C87AEC">
        <w:rPr>
          <w:rFonts w:ascii="TUOS Blake" w:hAnsi="TUOS Blake" w:cs="Arial"/>
          <w:sz w:val="22"/>
          <w:szCs w:val="22"/>
        </w:rPr>
        <w:t>TACo</w:t>
      </w:r>
      <w:proofErr w:type="spellEnd"/>
      <w:r w:rsidRPr="00C87AEC">
        <w:rPr>
          <w:rFonts w:ascii="TUOS Blake" w:hAnsi="TUOS Blake" w:cs="Arial"/>
          <w:sz w:val="22"/>
          <w:szCs w:val="22"/>
        </w:rPr>
        <w:t xml:space="preserve">) to the opposing forearm, twice-weekly for a total duration of eight weeks. Epidermal barrier function, stratum </w:t>
      </w:r>
      <w:proofErr w:type="spellStart"/>
      <w:r w:rsidRPr="00C87AEC">
        <w:rPr>
          <w:rFonts w:ascii="TUOS Blake" w:hAnsi="TUOS Blake" w:cs="Arial"/>
          <w:sz w:val="22"/>
          <w:szCs w:val="22"/>
        </w:rPr>
        <w:t>corneum</w:t>
      </w:r>
      <w:proofErr w:type="spellEnd"/>
      <w:r w:rsidRPr="00C87AEC">
        <w:rPr>
          <w:rFonts w:ascii="TUOS Blake" w:hAnsi="TUOS Blake" w:cs="Arial"/>
          <w:sz w:val="22"/>
          <w:szCs w:val="22"/>
        </w:rPr>
        <w:t xml:space="preserve"> (SC) integrity and cohesion was determined by combining </w:t>
      </w:r>
      <w:proofErr w:type="spellStart"/>
      <w:r w:rsidRPr="00C87AEC">
        <w:rPr>
          <w:rFonts w:ascii="TUOS Blake" w:hAnsi="TUOS Blake" w:cs="Arial"/>
          <w:sz w:val="22"/>
          <w:szCs w:val="22"/>
        </w:rPr>
        <w:t>Transepidermal</w:t>
      </w:r>
      <w:proofErr w:type="spellEnd"/>
      <w:r w:rsidRPr="00C87AEC">
        <w:rPr>
          <w:rFonts w:ascii="TUOS Blake" w:hAnsi="TUOS Blake" w:cs="Arial"/>
          <w:sz w:val="22"/>
          <w:szCs w:val="22"/>
        </w:rPr>
        <w:t xml:space="preserve"> water loss (TEWL) measurements with tape-stripping to 20 discs </w:t>
      </w:r>
      <w:r w:rsidRPr="00C87AEC">
        <w:rPr>
          <w:rFonts w:ascii="TUOS Blake" w:hAnsi="TUOS Blake"/>
          <w:sz w:val="22"/>
          <w:szCs w:val="22"/>
        </w:rPr>
        <w:t>(TS</w:t>
      </w:r>
      <w:r w:rsidRPr="00C87AEC">
        <w:rPr>
          <w:rFonts w:ascii="TUOS Blake" w:hAnsi="TUOS Blake"/>
          <w:sz w:val="22"/>
          <w:szCs w:val="22"/>
          <w:vertAlign w:val="subscript"/>
        </w:rPr>
        <w:t>20</w:t>
      </w:r>
      <w:r w:rsidRPr="00C87AEC">
        <w:rPr>
          <w:rFonts w:ascii="TUOS Blake" w:hAnsi="TUOS Blake"/>
          <w:sz w:val="22"/>
          <w:szCs w:val="22"/>
        </w:rPr>
        <w:t>)</w:t>
      </w:r>
      <w:r w:rsidRPr="00C87AEC">
        <w:rPr>
          <w:rFonts w:ascii="TUOS Blake" w:hAnsi="TUOS Blake" w:cs="Arial"/>
          <w:sz w:val="22"/>
          <w:szCs w:val="22"/>
        </w:rPr>
        <w:t>. Skin-surface pH and SC hydration was assessed by non-invasive probes. Protease activity in the SC was quantified by a fluorescence cleavage assay from collected tape-strips.</w:t>
      </w:r>
    </w:p>
    <w:p w:rsidR="00752EF8" w:rsidRPr="00C87AEC" w:rsidRDefault="00752EF8" w:rsidP="00752EF8">
      <w:pPr>
        <w:spacing w:after="120" w:line="288" w:lineRule="auto"/>
        <w:jc w:val="both"/>
        <w:rPr>
          <w:rFonts w:ascii="TUOS Blake" w:hAnsi="TUOS Blake"/>
          <w:sz w:val="22"/>
          <w:szCs w:val="22"/>
        </w:rPr>
      </w:pPr>
      <w:r w:rsidRPr="00C87AEC">
        <w:rPr>
          <w:rFonts w:ascii="TUOS Blake" w:hAnsi="TUOS Blake" w:cs="Arial"/>
          <w:b/>
          <w:sz w:val="22"/>
          <w:szCs w:val="22"/>
        </w:rPr>
        <w:t xml:space="preserve">Results: </w:t>
      </w:r>
      <w:r w:rsidRPr="00C87AEC">
        <w:rPr>
          <w:rFonts w:ascii="TUOS Blake" w:hAnsi="TUOS Blake"/>
          <w:sz w:val="22"/>
          <w:szCs w:val="22"/>
        </w:rPr>
        <w:t xml:space="preserve">Compared to baseline (pre-treatment) measurements, application of </w:t>
      </w:r>
      <w:proofErr w:type="spellStart"/>
      <w:r w:rsidRPr="00C87AEC">
        <w:rPr>
          <w:rFonts w:ascii="TUOS Blake" w:hAnsi="TUOS Blake"/>
          <w:sz w:val="22"/>
          <w:szCs w:val="22"/>
        </w:rPr>
        <w:t>BMVc</w:t>
      </w:r>
      <w:proofErr w:type="spellEnd"/>
      <w:r w:rsidRPr="00C87AEC">
        <w:rPr>
          <w:rFonts w:ascii="TUOS Blake" w:hAnsi="TUOS Blake"/>
          <w:sz w:val="22"/>
          <w:szCs w:val="22"/>
        </w:rPr>
        <w:t xml:space="preserve"> produced a small but significant elevation of skin-surface pH (baseline: 5.099 ±0.05 units, treated: 5.338 ±0.07 units, *</w:t>
      </w:r>
      <w:r w:rsidRPr="00C87AEC">
        <w:rPr>
          <w:rFonts w:ascii="TUOS Blake" w:hAnsi="TUOS Blake"/>
          <w:i/>
          <w:sz w:val="22"/>
          <w:szCs w:val="22"/>
        </w:rPr>
        <w:t xml:space="preserve">p </w:t>
      </w:r>
      <w:r w:rsidRPr="00C87AEC">
        <w:rPr>
          <w:rFonts w:ascii="TUOS Blake" w:hAnsi="TUOS Blake"/>
          <w:sz w:val="22"/>
          <w:szCs w:val="22"/>
        </w:rPr>
        <w:t>= &lt; 0.001) with concomitant loss of SC cohesion represented by the greater mass of SC removed during tape-stripping (TS</w:t>
      </w:r>
      <w:r w:rsidRPr="00C87AEC">
        <w:rPr>
          <w:rFonts w:ascii="TUOS Blake" w:hAnsi="TUOS Blake"/>
          <w:sz w:val="22"/>
          <w:szCs w:val="22"/>
          <w:vertAlign w:val="subscript"/>
        </w:rPr>
        <w:t>20</w:t>
      </w:r>
      <w:r w:rsidRPr="00C87AEC">
        <w:rPr>
          <w:rFonts w:ascii="TUOS Blake" w:hAnsi="TUOS Blake"/>
          <w:sz w:val="22"/>
          <w:szCs w:val="22"/>
        </w:rPr>
        <w:t>) (</w:t>
      </w:r>
      <w:proofErr w:type="gramStart"/>
      <w:r w:rsidRPr="00C87AEC">
        <w:rPr>
          <w:rFonts w:ascii="TUOS Blake" w:hAnsi="TUOS Blake"/>
          <w:sz w:val="22"/>
          <w:szCs w:val="22"/>
        </w:rPr>
        <w:t>baseline</w:t>
      </w:r>
      <w:proofErr w:type="gramEnd"/>
      <w:r w:rsidRPr="00C87AEC">
        <w:rPr>
          <w:rFonts w:ascii="TUOS Blake" w:hAnsi="TUOS Blake"/>
          <w:sz w:val="22"/>
          <w:szCs w:val="22"/>
        </w:rPr>
        <w:t xml:space="preserve">: Area under the curve [AUC] 1821.4 ±54.55 </w:t>
      </w:r>
      <w:proofErr w:type="spellStart"/>
      <w:r w:rsidRPr="00C87AEC">
        <w:rPr>
          <w:sz w:val="22"/>
          <w:szCs w:val="22"/>
        </w:rPr>
        <w:t>μ</w:t>
      </w:r>
      <w:r w:rsidRPr="00C87AEC">
        <w:rPr>
          <w:rFonts w:ascii="TUOS Blake" w:hAnsi="TUOS Blake"/>
          <w:sz w:val="22"/>
          <w:szCs w:val="22"/>
        </w:rPr>
        <w:t>g</w:t>
      </w:r>
      <w:proofErr w:type="spellEnd"/>
      <w:r w:rsidRPr="00C87AEC">
        <w:rPr>
          <w:rFonts w:ascii="TUOS Blake" w:hAnsi="TUOS Blake"/>
          <w:sz w:val="22"/>
          <w:szCs w:val="22"/>
        </w:rPr>
        <w:t>/cm</w:t>
      </w:r>
      <w:r w:rsidRPr="00C87AEC">
        <w:rPr>
          <w:rFonts w:ascii="TUOS Blake" w:hAnsi="TUOS Blake"/>
          <w:sz w:val="22"/>
          <w:szCs w:val="22"/>
          <w:vertAlign w:val="superscript"/>
        </w:rPr>
        <w:t>2</w:t>
      </w:r>
      <w:r w:rsidRPr="00C87AEC">
        <w:rPr>
          <w:rFonts w:ascii="TUOS Blake" w:hAnsi="TUOS Blake"/>
          <w:sz w:val="22"/>
          <w:szCs w:val="22"/>
        </w:rPr>
        <w:t>.TS</w:t>
      </w:r>
      <w:r w:rsidRPr="00C87AEC">
        <w:rPr>
          <w:rFonts w:ascii="TUOS Blake" w:hAnsi="TUOS Blake"/>
          <w:sz w:val="22"/>
          <w:szCs w:val="22"/>
          <w:vertAlign w:val="subscript"/>
        </w:rPr>
        <w:t>20</w:t>
      </w:r>
      <w:r w:rsidRPr="00C87AEC">
        <w:rPr>
          <w:rFonts w:ascii="TUOS Blake" w:hAnsi="TUOS Blake"/>
          <w:sz w:val="22"/>
          <w:szCs w:val="22"/>
        </w:rPr>
        <w:t xml:space="preserve">, treated: AUC 2064.8 ±75.24 </w:t>
      </w:r>
      <w:proofErr w:type="spellStart"/>
      <w:r w:rsidRPr="00C87AEC">
        <w:rPr>
          <w:sz w:val="22"/>
          <w:szCs w:val="22"/>
        </w:rPr>
        <w:t>μ</w:t>
      </w:r>
      <w:r w:rsidRPr="00C87AEC">
        <w:rPr>
          <w:rFonts w:ascii="TUOS Blake" w:hAnsi="TUOS Blake"/>
          <w:sz w:val="22"/>
          <w:szCs w:val="22"/>
        </w:rPr>
        <w:t>g</w:t>
      </w:r>
      <w:proofErr w:type="spellEnd"/>
      <w:r w:rsidRPr="00C87AEC">
        <w:rPr>
          <w:rFonts w:ascii="TUOS Blake" w:hAnsi="TUOS Blake"/>
          <w:sz w:val="22"/>
          <w:szCs w:val="22"/>
        </w:rPr>
        <w:t>/cm</w:t>
      </w:r>
      <w:r w:rsidRPr="00C87AEC">
        <w:rPr>
          <w:rFonts w:ascii="TUOS Blake" w:hAnsi="TUOS Blake"/>
          <w:sz w:val="22"/>
          <w:szCs w:val="22"/>
          <w:vertAlign w:val="superscript"/>
        </w:rPr>
        <w:t>2</w:t>
      </w:r>
      <w:r w:rsidRPr="00C87AEC">
        <w:rPr>
          <w:rFonts w:ascii="TUOS Blake" w:hAnsi="TUOS Blake"/>
          <w:sz w:val="22"/>
          <w:szCs w:val="22"/>
        </w:rPr>
        <w:t>.TS</w:t>
      </w:r>
      <w:r w:rsidRPr="00C87AEC">
        <w:rPr>
          <w:rFonts w:ascii="TUOS Blake" w:hAnsi="TUOS Blake"/>
          <w:sz w:val="22"/>
          <w:szCs w:val="22"/>
          <w:vertAlign w:val="subscript"/>
        </w:rPr>
        <w:t>20</w:t>
      </w:r>
      <w:r w:rsidRPr="00C87AEC">
        <w:rPr>
          <w:rFonts w:ascii="TUOS Blake" w:hAnsi="TUOS Blake"/>
          <w:sz w:val="22"/>
          <w:szCs w:val="22"/>
        </w:rPr>
        <w:t>, *</w:t>
      </w:r>
      <w:r w:rsidRPr="00C87AEC">
        <w:rPr>
          <w:rFonts w:ascii="TUOS Blake" w:hAnsi="TUOS Blake"/>
          <w:i/>
          <w:sz w:val="22"/>
          <w:szCs w:val="22"/>
        </w:rPr>
        <w:t xml:space="preserve">p </w:t>
      </w:r>
      <w:r w:rsidRPr="00C87AEC">
        <w:rPr>
          <w:rFonts w:ascii="TUOS Blake" w:hAnsi="TUOS Blake"/>
          <w:sz w:val="22"/>
          <w:szCs w:val="22"/>
        </w:rPr>
        <w:t xml:space="preserve">= &lt; 0.05). </w:t>
      </w:r>
      <w:proofErr w:type="spellStart"/>
      <w:r w:rsidRPr="00C87AEC">
        <w:rPr>
          <w:rFonts w:ascii="TUOS Blake" w:hAnsi="TUOS Blake"/>
          <w:sz w:val="22"/>
          <w:szCs w:val="22"/>
        </w:rPr>
        <w:t>BMVc</w:t>
      </w:r>
      <w:proofErr w:type="spellEnd"/>
      <w:r w:rsidRPr="00C87AEC">
        <w:rPr>
          <w:rFonts w:ascii="TUOS Blake" w:hAnsi="TUOS Blake"/>
          <w:sz w:val="22"/>
          <w:szCs w:val="22"/>
        </w:rPr>
        <w:t xml:space="preserve"> preserved epidermal barrier function and SC integrity. By contrast, </w:t>
      </w:r>
      <w:proofErr w:type="spellStart"/>
      <w:r w:rsidRPr="00C87AEC">
        <w:rPr>
          <w:rFonts w:ascii="TUOS Blake" w:hAnsi="TUOS Blake"/>
          <w:sz w:val="22"/>
          <w:szCs w:val="22"/>
        </w:rPr>
        <w:t>TACo</w:t>
      </w:r>
      <w:proofErr w:type="spellEnd"/>
      <w:r w:rsidRPr="00C87AEC">
        <w:rPr>
          <w:rFonts w:ascii="TUOS Blake" w:hAnsi="TUOS Blake"/>
          <w:sz w:val="22"/>
          <w:szCs w:val="22"/>
        </w:rPr>
        <w:t xml:space="preserve"> improved SC integrity, as evidenced by significantly reduced </w:t>
      </w:r>
      <w:proofErr w:type="spellStart"/>
      <w:r w:rsidRPr="00C87AEC">
        <w:rPr>
          <w:rFonts w:ascii="TUOS Blake" w:hAnsi="TUOS Blake"/>
          <w:sz w:val="22"/>
          <w:szCs w:val="22"/>
        </w:rPr>
        <w:t>Transepidermal</w:t>
      </w:r>
      <w:proofErr w:type="spellEnd"/>
      <w:r w:rsidRPr="00C87AEC">
        <w:rPr>
          <w:rFonts w:ascii="TUOS Blake" w:hAnsi="TUOS Blake"/>
          <w:sz w:val="22"/>
          <w:szCs w:val="22"/>
        </w:rPr>
        <w:t xml:space="preserve"> water loss (TEWL) recorded at disc 20 (baseline: TEWL</w:t>
      </w:r>
      <w:r w:rsidRPr="00C87AEC">
        <w:rPr>
          <w:rFonts w:ascii="TUOS Blake" w:hAnsi="TUOS Blake"/>
          <w:sz w:val="22"/>
          <w:szCs w:val="22"/>
          <w:vertAlign w:val="subscript"/>
        </w:rPr>
        <w:t>20</w:t>
      </w:r>
      <w:r w:rsidRPr="00C87AEC">
        <w:rPr>
          <w:rFonts w:ascii="TUOS Blake" w:hAnsi="TUOS Blake"/>
          <w:sz w:val="22"/>
          <w:szCs w:val="22"/>
        </w:rPr>
        <w:t>: 59.99 ±5.13g/m</w:t>
      </w:r>
      <w:r w:rsidRPr="00C87AEC">
        <w:rPr>
          <w:rFonts w:ascii="TUOS Blake" w:hAnsi="TUOS Blake"/>
          <w:sz w:val="22"/>
          <w:szCs w:val="22"/>
          <w:vertAlign w:val="superscript"/>
        </w:rPr>
        <w:t>2</w:t>
      </w:r>
      <w:r w:rsidRPr="00C87AEC">
        <w:rPr>
          <w:rFonts w:ascii="TUOS Blake" w:hAnsi="TUOS Blake"/>
          <w:sz w:val="22"/>
          <w:szCs w:val="22"/>
        </w:rPr>
        <w:t>/h, treated: TEWL</w:t>
      </w:r>
      <w:r w:rsidRPr="00C87AEC">
        <w:rPr>
          <w:rFonts w:ascii="TUOS Blake" w:hAnsi="TUOS Blake"/>
          <w:sz w:val="22"/>
          <w:szCs w:val="22"/>
          <w:vertAlign w:val="subscript"/>
        </w:rPr>
        <w:t>20</w:t>
      </w:r>
      <w:r w:rsidRPr="00C87AEC">
        <w:rPr>
          <w:rFonts w:ascii="TUOS Blake" w:hAnsi="TUOS Blake"/>
          <w:sz w:val="22"/>
          <w:szCs w:val="22"/>
        </w:rPr>
        <w:t>: 45.54 ±3.94g/m</w:t>
      </w:r>
      <w:r w:rsidRPr="00C87AEC">
        <w:rPr>
          <w:rFonts w:ascii="TUOS Blake" w:hAnsi="TUOS Blake"/>
          <w:sz w:val="22"/>
          <w:szCs w:val="22"/>
          <w:vertAlign w:val="superscript"/>
        </w:rPr>
        <w:t>2</w:t>
      </w:r>
      <w:r w:rsidRPr="00C87AEC">
        <w:rPr>
          <w:rFonts w:ascii="TUOS Blake" w:hAnsi="TUOS Blake"/>
          <w:sz w:val="22"/>
          <w:szCs w:val="22"/>
        </w:rPr>
        <w:t>/h, *</w:t>
      </w:r>
      <w:r w:rsidRPr="00C87AEC">
        <w:rPr>
          <w:rFonts w:ascii="TUOS Blake" w:hAnsi="TUOS Blake"/>
          <w:i/>
          <w:sz w:val="22"/>
          <w:szCs w:val="22"/>
        </w:rPr>
        <w:t xml:space="preserve">p </w:t>
      </w:r>
      <w:r w:rsidRPr="00C87AEC">
        <w:rPr>
          <w:rFonts w:ascii="TUOS Blake" w:hAnsi="TUOS Blake"/>
          <w:sz w:val="22"/>
          <w:szCs w:val="22"/>
        </w:rPr>
        <w:t>= &lt; 0.0001). This was coupled with an overall hydrating action on the SC (baseline: 37.29 ±1.23 Relative Capacitance Units [RCU], treated: 43.35 ±1.45 RCU, *</w:t>
      </w:r>
      <w:r w:rsidRPr="00C87AEC">
        <w:rPr>
          <w:rFonts w:ascii="TUOS Blake" w:hAnsi="TUOS Blake"/>
          <w:i/>
          <w:sz w:val="22"/>
          <w:szCs w:val="22"/>
        </w:rPr>
        <w:t xml:space="preserve">p </w:t>
      </w:r>
      <w:r w:rsidRPr="00C87AEC">
        <w:rPr>
          <w:rFonts w:ascii="TUOS Blake" w:hAnsi="TUOS Blake"/>
          <w:sz w:val="22"/>
          <w:szCs w:val="22"/>
        </w:rPr>
        <w:t xml:space="preserve">= &lt; 0.01). </w:t>
      </w:r>
      <w:proofErr w:type="spellStart"/>
      <w:r w:rsidRPr="00C87AEC">
        <w:rPr>
          <w:rFonts w:ascii="TUOS Blake" w:hAnsi="TUOS Blake"/>
          <w:sz w:val="22"/>
          <w:szCs w:val="22"/>
        </w:rPr>
        <w:t>TACo</w:t>
      </w:r>
      <w:proofErr w:type="spellEnd"/>
      <w:r w:rsidRPr="00C87AEC">
        <w:rPr>
          <w:rFonts w:ascii="TUOS Blake" w:hAnsi="TUOS Blake"/>
          <w:sz w:val="22"/>
          <w:szCs w:val="22"/>
        </w:rPr>
        <w:t xml:space="preserve"> significantly suppressed </w:t>
      </w:r>
      <w:proofErr w:type="spellStart"/>
      <w:r w:rsidRPr="00C87AEC">
        <w:rPr>
          <w:rFonts w:ascii="TUOS Blake" w:hAnsi="TUOS Blake"/>
          <w:sz w:val="22"/>
          <w:szCs w:val="22"/>
        </w:rPr>
        <w:t>caseinolytic</w:t>
      </w:r>
      <w:proofErr w:type="spellEnd"/>
      <w:r w:rsidRPr="00C87AEC">
        <w:rPr>
          <w:rFonts w:ascii="TUOS Blake" w:hAnsi="TUOS Blake"/>
          <w:sz w:val="22"/>
          <w:szCs w:val="22"/>
        </w:rPr>
        <w:t xml:space="preserve"> (baseline: 4.73 ±0.23 </w:t>
      </w:r>
      <w:proofErr w:type="spellStart"/>
      <w:r w:rsidRPr="00C87AEC">
        <w:rPr>
          <w:rFonts w:ascii="TUOS Blake" w:hAnsi="TUOS Blake"/>
          <w:sz w:val="22"/>
          <w:szCs w:val="22"/>
        </w:rPr>
        <w:t>nU</w:t>
      </w:r>
      <w:proofErr w:type="spellEnd"/>
      <w:r w:rsidRPr="00C87AEC">
        <w:rPr>
          <w:rFonts w:ascii="TUOS Blake" w:hAnsi="TUOS Blake"/>
          <w:sz w:val="22"/>
          <w:szCs w:val="22"/>
        </w:rPr>
        <w:t>/</w:t>
      </w:r>
      <w:proofErr w:type="spellStart"/>
      <w:r w:rsidRPr="00C87AEC">
        <w:rPr>
          <w:sz w:val="22"/>
          <w:szCs w:val="22"/>
        </w:rPr>
        <w:t>μ</w:t>
      </w:r>
      <w:r w:rsidRPr="00C87AEC">
        <w:rPr>
          <w:rFonts w:ascii="TUOS Blake" w:hAnsi="TUOS Blake"/>
          <w:sz w:val="22"/>
          <w:szCs w:val="22"/>
        </w:rPr>
        <w:t>g</w:t>
      </w:r>
      <w:proofErr w:type="spellEnd"/>
      <w:r w:rsidRPr="00C87AEC">
        <w:rPr>
          <w:rFonts w:ascii="TUOS Blake" w:hAnsi="TUOS Blake"/>
          <w:sz w:val="22"/>
          <w:szCs w:val="22"/>
        </w:rPr>
        <w:t xml:space="preserve">, treated: 4.21 ±0.27 </w:t>
      </w:r>
      <w:proofErr w:type="spellStart"/>
      <w:r w:rsidRPr="00C87AEC">
        <w:rPr>
          <w:rFonts w:ascii="TUOS Blake" w:hAnsi="TUOS Blake"/>
          <w:sz w:val="22"/>
          <w:szCs w:val="22"/>
        </w:rPr>
        <w:t>nU</w:t>
      </w:r>
      <w:proofErr w:type="spellEnd"/>
      <w:r w:rsidRPr="00C87AEC">
        <w:rPr>
          <w:rFonts w:ascii="TUOS Blake" w:hAnsi="TUOS Blake"/>
          <w:sz w:val="22"/>
          <w:szCs w:val="22"/>
        </w:rPr>
        <w:t>/</w:t>
      </w:r>
      <w:proofErr w:type="spellStart"/>
      <w:r w:rsidRPr="00C87AEC">
        <w:rPr>
          <w:sz w:val="22"/>
          <w:szCs w:val="22"/>
        </w:rPr>
        <w:t>μ</w:t>
      </w:r>
      <w:r w:rsidRPr="00C87AEC">
        <w:rPr>
          <w:rFonts w:ascii="TUOS Blake" w:hAnsi="TUOS Blake"/>
          <w:sz w:val="22"/>
          <w:szCs w:val="22"/>
        </w:rPr>
        <w:t>g</w:t>
      </w:r>
      <w:proofErr w:type="spellEnd"/>
      <w:r w:rsidRPr="00C87AEC">
        <w:rPr>
          <w:rFonts w:ascii="TUOS Blake" w:hAnsi="TUOS Blake"/>
          <w:sz w:val="22"/>
          <w:szCs w:val="22"/>
        </w:rPr>
        <w:t>, *</w:t>
      </w:r>
      <w:r w:rsidRPr="00C87AEC">
        <w:rPr>
          <w:rFonts w:ascii="TUOS Blake" w:hAnsi="TUOS Blake"/>
          <w:i/>
          <w:sz w:val="22"/>
          <w:szCs w:val="22"/>
        </w:rPr>
        <w:t xml:space="preserve">p </w:t>
      </w:r>
      <w:r w:rsidRPr="00C87AEC">
        <w:rPr>
          <w:rFonts w:ascii="TUOS Blake" w:hAnsi="TUOS Blake"/>
          <w:sz w:val="22"/>
          <w:szCs w:val="22"/>
        </w:rPr>
        <w:t xml:space="preserve">= &lt; 0.05) and trypsin-like protease activity (baseline: 1.66 ±0.09 </w:t>
      </w:r>
      <w:proofErr w:type="spellStart"/>
      <w:r w:rsidRPr="00C87AEC">
        <w:rPr>
          <w:rFonts w:ascii="TUOS Blake" w:hAnsi="TUOS Blake"/>
          <w:sz w:val="22"/>
          <w:szCs w:val="22"/>
        </w:rPr>
        <w:t>nU</w:t>
      </w:r>
      <w:proofErr w:type="spellEnd"/>
      <w:r w:rsidRPr="00C87AEC">
        <w:rPr>
          <w:rFonts w:ascii="TUOS Blake" w:hAnsi="TUOS Blake"/>
          <w:sz w:val="22"/>
          <w:szCs w:val="22"/>
        </w:rPr>
        <w:t>/</w:t>
      </w:r>
      <w:proofErr w:type="spellStart"/>
      <w:r w:rsidRPr="00C87AEC">
        <w:rPr>
          <w:sz w:val="22"/>
          <w:szCs w:val="22"/>
        </w:rPr>
        <w:t>μ</w:t>
      </w:r>
      <w:r w:rsidRPr="00C87AEC">
        <w:rPr>
          <w:rFonts w:ascii="TUOS Blake" w:hAnsi="TUOS Blake"/>
          <w:sz w:val="22"/>
          <w:szCs w:val="22"/>
        </w:rPr>
        <w:t>g</w:t>
      </w:r>
      <w:proofErr w:type="spellEnd"/>
      <w:r w:rsidRPr="00C87AEC">
        <w:rPr>
          <w:rFonts w:ascii="TUOS Blake" w:hAnsi="TUOS Blake"/>
          <w:sz w:val="22"/>
          <w:szCs w:val="22"/>
        </w:rPr>
        <w:t xml:space="preserve">, treated: 1.20 ±0.12 </w:t>
      </w:r>
      <w:proofErr w:type="spellStart"/>
      <w:r w:rsidRPr="00C87AEC">
        <w:rPr>
          <w:rFonts w:ascii="TUOS Blake" w:hAnsi="TUOS Blake"/>
          <w:sz w:val="22"/>
          <w:szCs w:val="22"/>
        </w:rPr>
        <w:t>nU</w:t>
      </w:r>
      <w:proofErr w:type="spellEnd"/>
      <w:r w:rsidRPr="00C87AEC">
        <w:rPr>
          <w:rFonts w:ascii="TUOS Blake" w:hAnsi="TUOS Blake"/>
          <w:sz w:val="22"/>
          <w:szCs w:val="22"/>
        </w:rPr>
        <w:t>/</w:t>
      </w:r>
      <w:proofErr w:type="spellStart"/>
      <w:r w:rsidRPr="00C87AEC">
        <w:rPr>
          <w:sz w:val="22"/>
          <w:szCs w:val="22"/>
        </w:rPr>
        <w:t>μ</w:t>
      </w:r>
      <w:r w:rsidRPr="00C87AEC">
        <w:rPr>
          <w:rFonts w:ascii="TUOS Blake" w:hAnsi="TUOS Blake"/>
          <w:sz w:val="22"/>
          <w:szCs w:val="22"/>
        </w:rPr>
        <w:t>g</w:t>
      </w:r>
      <w:proofErr w:type="spellEnd"/>
      <w:r w:rsidRPr="00C87AEC">
        <w:rPr>
          <w:rFonts w:ascii="TUOS Blake" w:hAnsi="TUOS Blake"/>
          <w:sz w:val="22"/>
          <w:szCs w:val="22"/>
        </w:rPr>
        <w:t>, *</w:t>
      </w:r>
      <w:r w:rsidRPr="00C87AEC">
        <w:rPr>
          <w:rFonts w:ascii="TUOS Blake" w:hAnsi="TUOS Blake"/>
          <w:i/>
          <w:sz w:val="22"/>
          <w:szCs w:val="22"/>
        </w:rPr>
        <w:t>p</w:t>
      </w:r>
      <w:r w:rsidRPr="00C87AEC">
        <w:rPr>
          <w:rFonts w:ascii="TUOS Blake" w:hAnsi="TUOS Blake"/>
          <w:sz w:val="22"/>
          <w:szCs w:val="22"/>
        </w:rPr>
        <w:t xml:space="preserve"> = &lt; 0.05).</w:t>
      </w:r>
    </w:p>
    <w:p w:rsidR="00752EF8" w:rsidRPr="00C87AEC" w:rsidRDefault="00752EF8" w:rsidP="00752EF8">
      <w:pPr>
        <w:spacing w:after="240" w:line="288" w:lineRule="auto"/>
        <w:jc w:val="both"/>
        <w:rPr>
          <w:rFonts w:ascii="TUOS Blake" w:hAnsi="TUOS Blake" w:cs="Arial"/>
          <w:sz w:val="22"/>
          <w:szCs w:val="22"/>
        </w:rPr>
      </w:pPr>
      <w:r>
        <w:rPr>
          <w:rFonts w:ascii="TUOS Blake" w:hAnsi="TUOS Blake" w:cs="Arial"/>
          <w:b/>
          <w:sz w:val="22"/>
          <w:szCs w:val="22"/>
        </w:rPr>
        <w:t>Conclusions</w:t>
      </w:r>
      <w:r w:rsidRPr="00C87AEC">
        <w:rPr>
          <w:rFonts w:ascii="TUOS Blake" w:hAnsi="TUOS Blake" w:cs="Arial"/>
          <w:b/>
          <w:sz w:val="22"/>
          <w:szCs w:val="22"/>
        </w:rPr>
        <w:t xml:space="preserve">: </w:t>
      </w:r>
      <w:r w:rsidRPr="00C87AEC">
        <w:rPr>
          <w:rFonts w:ascii="TUOS Blake" w:hAnsi="TUOS Blake" w:cs="Arial"/>
          <w:sz w:val="22"/>
          <w:szCs w:val="22"/>
        </w:rPr>
        <w:t xml:space="preserve">The differential results observed support the use of </w:t>
      </w:r>
      <w:proofErr w:type="spellStart"/>
      <w:r w:rsidRPr="00C87AEC">
        <w:rPr>
          <w:rFonts w:ascii="TUOS Blake" w:hAnsi="TUOS Blake" w:cs="Arial"/>
          <w:sz w:val="22"/>
          <w:szCs w:val="22"/>
        </w:rPr>
        <w:t>TACo</w:t>
      </w:r>
      <w:proofErr w:type="spellEnd"/>
      <w:r w:rsidRPr="00C87AEC">
        <w:rPr>
          <w:rFonts w:ascii="TUOS Blake" w:hAnsi="TUOS Blake" w:cs="Arial"/>
          <w:sz w:val="22"/>
          <w:szCs w:val="22"/>
        </w:rPr>
        <w:t xml:space="preserve"> to promote reparation of the subclinical barrier defect associated with quiescent AD. Repairing the defective epidermal barrier during long-term treatment regimens could have significant influence on reducing the severity of AD, and be disease modifying.</w:t>
      </w:r>
    </w:p>
    <w:p w:rsidR="00AC6F90" w:rsidRDefault="00AC6F90"/>
    <w:sectPr w:rsidR="00AC6F90" w:rsidSect="00DF3F9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UOS Blake">
    <w:panose1 w:val="020B0503040000020004"/>
    <w:charset w:val="00"/>
    <w:family w:val="swiss"/>
    <w:pitch w:val="variable"/>
    <w:sig w:usb0="8000002F" w:usb1="40000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F8"/>
    <w:rsid w:val="002133EE"/>
    <w:rsid w:val="00752EF8"/>
    <w:rsid w:val="00AC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01F1C-AE58-47D9-8989-DF0EAFDF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UOS Blake" w:eastAsiaTheme="minorHAnsi" w:hAnsi="TUOS Blake"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E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Palmer</dc:creator>
  <cp:keywords/>
  <dc:description/>
  <cp:lastModifiedBy>Windows User</cp:lastModifiedBy>
  <cp:revision>2</cp:revision>
  <dcterms:created xsi:type="dcterms:W3CDTF">2019-11-19T13:56:00Z</dcterms:created>
  <dcterms:modified xsi:type="dcterms:W3CDTF">2019-11-19T13:56:00Z</dcterms:modified>
</cp:coreProperties>
</file>