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17C" w:rsidRPr="00D40F7C" w:rsidRDefault="0020717C" w:rsidP="0020717C">
      <w:pPr>
        <w:spacing w:after="120" w:line="288" w:lineRule="auto"/>
        <w:jc w:val="center"/>
        <w:rPr>
          <w:rFonts w:ascii="TUOS Blake" w:hAnsi="TUOS Blake"/>
          <w:b/>
          <w:sz w:val="22"/>
          <w:szCs w:val="22"/>
        </w:rPr>
      </w:pPr>
      <w:bookmarkStart w:id="0" w:name="_GoBack"/>
      <w:bookmarkEnd w:id="0"/>
      <w:r w:rsidRPr="00D40F7C">
        <w:rPr>
          <w:rFonts w:ascii="TUOS Blake" w:hAnsi="TUOS Blake"/>
          <w:b/>
          <w:sz w:val="22"/>
          <w:szCs w:val="22"/>
        </w:rPr>
        <w:t>The neonatal epidermal barrier: development of superficial chymotrypsin-like protease activity and natural moisturising factors</w:t>
      </w:r>
    </w:p>
    <w:p w:rsidR="0020717C" w:rsidRPr="006B7DED" w:rsidRDefault="0020717C" w:rsidP="0020717C">
      <w:pPr>
        <w:spacing w:after="240" w:line="288" w:lineRule="auto"/>
        <w:jc w:val="center"/>
        <w:rPr>
          <w:rFonts w:ascii="TUOS Blake" w:hAnsi="TUOS Blake" w:cs="Arial"/>
          <w:sz w:val="20"/>
          <w:szCs w:val="20"/>
          <w:lang w:val="en-US" w:eastAsia="en-GB"/>
        </w:rPr>
      </w:pPr>
      <w:r>
        <w:rPr>
          <w:rFonts w:ascii="TUOS Blake" w:hAnsi="TUOS Blake" w:cs="Arial"/>
          <w:sz w:val="20"/>
          <w:szCs w:val="20"/>
          <w:lang w:val="en-US" w:eastAsia="en-GB"/>
        </w:rPr>
        <w:t>9th Georg Rajka International S</w:t>
      </w:r>
      <w:r w:rsidRPr="006B7DED">
        <w:rPr>
          <w:rFonts w:ascii="TUOS Blake" w:hAnsi="TUOS Blake" w:cs="Arial"/>
          <w:sz w:val="20"/>
          <w:szCs w:val="20"/>
          <w:lang w:val="en-US" w:eastAsia="en-GB"/>
        </w:rPr>
        <w:t>ymposium on AD</w:t>
      </w:r>
      <w:r>
        <w:rPr>
          <w:rFonts w:ascii="TUOS Blake" w:hAnsi="TUOS Blake" w:cs="Arial"/>
          <w:sz w:val="20"/>
          <w:szCs w:val="20"/>
          <w:lang w:val="en-US" w:eastAsia="en-GB"/>
        </w:rPr>
        <w:t xml:space="preserve"> 2016, Sao Paulo, Brazil</w:t>
      </w:r>
    </w:p>
    <w:p w:rsidR="0020717C" w:rsidRPr="00D40F7C" w:rsidRDefault="0020717C" w:rsidP="0020717C">
      <w:pPr>
        <w:spacing w:after="120" w:line="288" w:lineRule="auto"/>
        <w:jc w:val="both"/>
        <w:rPr>
          <w:rFonts w:ascii="TUOS Blake" w:hAnsi="TUOS Blake"/>
          <w:sz w:val="22"/>
          <w:szCs w:val="22"/>
        </w:rPr>
      </w:pPr>
      <w:r w:rsidRPr="00D40F7C">
        <w:rPr>
          <w:rFonts w:ascii="TUOS Blake" w:hAnsi="TUOS Blake"/>
          <w:b/>
          <w:sz w:val="22"/>
          <w:szCs w:val="22"/>
        </w:rPr>
        <w:t>Background:</w:t>
      </w:r>
      <w:r w:rsidRPr="00D40F7C">
        <w:rPr>
          <w:rFonts w:ascii="TUOS Blake" w:hAnsi="TUOS Blake"/>
          <w:b/>
          <w:i/>
          <w:sz w:val="22"/>
          <w:szCs w:val="22"/>
        </w:rPr>
        <w:t xml:space="preserve"> </w:t>
      </w:r>
      <w:r w:rsidRPr="00D40F7C">
        <w:rPr>
          <w:rFonts w:ascii="TUOS Blake" w:hAnsi="TUOS Blake"/>
          <w:sz w:val="22"/>
          <w:szCs w:val="22"/>
        </w:rPr>
        <w:t>The infant stratum corneum (SC) is thinner, and immature in both structure and function compared to adults throughout the first year of life. This vulnerable period coincides with the onset (&lt;1 year of age) of skin manifestations such as atopic dermatitis. From birth, the SC enters a maturation phase of rapid hydration and acid mantle formation. Considering the reported homeostatic action of these functional properties, the observations suggest underdeveloped or transitional mechanisms underlying neonatal epidermal barrier differentiation and desquamation.</w:t>
      </w:r>
    </w:p>
    <w:p w:rsidR="0020717C" w:rsidRPr="00D40F7C" w:rsidRDefault="0020717C" w:rsidP="0020717C">
      <w:pPr>
        <w:spacing w:after="120" w:line="288" w:lineRule="auto"/>
        <w:jc w:val="both"/>
        <w:rPr>
          <w:rFonts w:ascii="TUOS Blake" w:hAnsi="TUOS Blake"/>
          <w:sz w:val="22"/>
          <w:szCs w:val="22"/>
        </w:rPr>
      </w:pPr>
      <w:r w:rsidRPr="00D40F7C">
        <w:rPr>
          <w:rFonts w:ascii="TUOS Blake" w:hAnsi="TUOS Blake"/>
          <w:b/>
          <w:sz w:val="22"/>
          <w:szCs w:val="22"/>
        </w:rPr>
        <w:t xml:space="preserve">Objective: </w:t>
      </w:r>
      <w:r w:rsidRPr="00D40F7C">
        <w:rPr>
          <w:rFonts w:ascii="TUOS Blake" w:hAnsi="TUOS Blake"/>
          <w:sz w:val="22"/>
          <w:szCs w:val="22"/>
        </w:rPr>
        <w:t>To monitor the functional properties of the SC throughout the neonatal period, in conjunction with the determination of superficial chymotrypsin-like protease activity (such as kallikrein-7 [KLK-7]) and the level of filaggrin-derived natural moisturising factors (NMF).</w:t>
      </w:r>
    </w:p>
    <w:p w:rsidR="0020717C" w:rsidRPr="00D40F7C" w:rsidRDefault="0020717C" w:rsidP="0020717C">
      <w:pPr>
        <w:spacing w:after="120" w:line="288" w:lineRule="auto"/>
        <w:jc w:val="both"/>
        <w:rPr>
          <w:rFonts w:ascii="TUOS Blake" w:hAnsi="TUOS Blake"/>
          <w:sz w:val="22"/>
          <w:szCs w:val="22"/>
        </w:rPr>
      </w:pPr>
      <w:r w:rsidRPr="00D40F7C">
        <w:rPr>
          <w:rFonts w:ascii="TUOS Blake" w:hAnsi="TUOS Blake"/>
          <w:b/>
          <w:sz w:val="22"/>
          <w:szCs w:val="22"/>
        </w:rPr>
        <w:t xml:space="preserve">Methods: </w:t>
      </w:r>
      <w:r w:rsidRPr="00D40F7C">
        <w:rPr>
          <w:rFonts w:ascii="TUOS Blake" w:hAnsi="TUOS Blake"/>
          <w:sz w:val="22"/>
          <w:szCs w:val="22"/>
        </w:rPr>
        <w:t>Full-term, healthy neonates (</w:t>
      </w:r>
      <w:r w:rsidRPr="00D40F7C">
        <w:rPr>
          <w:rFonts w:ascii="TUOS Blake" w:hAnsi="TUOS Blake"/>
          <w:i/>
          <w:sz w:val="22"/>
          <w:szCs w:val="22"/>
        </w:rPr>
        <w:t>n</w:t>
      </w:r>
      <w:r w:rsidRPr="00D40F7C">
        <w:rPr>
          <w:rFonts w:ascii="TUOS Blake" w:hAnsi="TUOS Blake"/>
          <w:sz w:val="22"/>
          <w:szCs w:val="22"/>
        </w:rPr>
        <w:t>=115) recruited to the oil in baby skincare (OBSeRvE) randomised controlled trial underwent a full SC assessment at birth (&lt;72 hours old) and at 4 weeks of age (</w:t>
      </w:r>
      <w:r w:rsidRPr="00D40F7C">
        <w:rPr>
          <w:rFonts w:ascii="TUOS Blake" w:hAnsi="TUOS Blake"/>
          <w:i/>
          <w:sz w:val="22"/>
          <w:szCs w:val="22"/>
        </w:rPr>
        <w:t>n</w:t>
      </w:r>
      <w:r w:rsidRPr="00D40F7C">
        <w:rPr>
          <w:rFonts w:ascii="TUOS Blake" w:hAnsi="TUOS Blake"/>
          <w:sz w:val="22"/>
          <w:szCs w:val="22"/>
        </w:rPr>
        <w:t>=39, no oil control group) using a portfolio of minimally invasive instrumentation, techniques and methodology. To place the results in neonates into context, a cohort of unrelated adults (</w:t>
      </w:r>
      <w:r w:rsidRPr="00D40F7C">
        <w:rPr>
          <w:rFonts w:ascii="TUOS Blake" w:hAnsi="TUOS Blake"/>
          <w:i/>
          <w:sz w:val="22"/>
          <w:szCs w:val="22"/>
        </w:rPr>
        <w:t>n</w:t>
      </w:r>
      <w:r w:rsidRPr="00D40F7C">
        <w:rPr>
          <w:rFonts w:ascii="TUOS Blake" w:hAnsi="TUOS Blake"/>
          <w:sz w:val="22"/>
          <w:szCs w:val="22"/>
        </w:rPr>
        <w:t>=20) was recruited.</w:t>
      </w:r>
    </w:p>
    <w:p w:rsidR="0020717C" w:rsidRPr="00D40F7C" w:rsidRDefault="0020717C" w:rsidP="0020717C">
      <w:pPr>
        <w:spacing w:after="120" w:line="288" w:lineRule="auto"/>
        <w:jc w:val="both"/>
        <w:rPr>
          <w:rFonts w:ascii="TUOS Blake" w:hAnsi="TUOS Blake"/>
          <w:sz w:val="22"/>
          <w:szCs w:val="22"/>
        </w:rPr>
      </w:pPr>
      <w:r w:rsidRPr="00D40F7C">
        <w:rPr>
          <w:rFonts w:ascii="TUOS Blake" w:hAnsi="TUOS Blake"/>
          <w:b/>
          <w:sz w:val="22"/>
          <w:szCs w:val="22"/>
        </w:rPr>
        <w:t xml:space="preserve">Results: </w:t>
      </w:r>
      <w:r w:rsidRPr="00D40F7C">
        <w:rPr>
          <w:rFonts w:ascii="TUOS Blake" w:hAnsi="TUOS Blake"/>
          <w:sz w:val="22"/>
          <w:szCs w:val="22"/>
        </w:rPr>
        <w:t>In conjunction with the increase in SC hydration and skin-surface acidification over the neonatal period, transepidermal water loss (TEWL), superficial KLK-7 activity and NMF significantly elevated from birth beyond the levels observed in adult skin. At birth, KLK-7 activity and NMF both significantly correlated with TEWL (r=0.26 [KLK-7]/-0.38 [NMF]), SC hydration (r=-0.30/0.50) and skin-surface pH (r=0.25/-0.54). Neonates with impaired epidermal barrier function at birth (&gt;75th percentile TEWL) demonstrated significantly elevated KLK-7 activity (1.41 nU/µg) and reduced levels of NMF (139.80 nmol/mg) compared to subjects within the lower TEWL percentiles (KLK-7: 0.90 nU/µg; NMF: 277.90 nmol/mg).</w:t>
      </w:r>
    </w:p>
    <w:p w:rsidR="0020717C" w:rsidRPr="00D40F7C" w:rsidRDefault="0020717C" w:rsidP="0020717C">
      <w:pPr>
        <w:spacing w:line="288" w:lineRule="auto"/>
        <w:jc w:val="both"/>
        <w:rPr>
          <w:rFonts w:ascii="TUOS Blake" w:hAnsi="TUOS Blake"/>
          <w:sz w:val="22"/>
          <w:szCs w:val="22"/>
        </w:rPr>
      </w:pPr>
      <w:r w:rsidRPr="00D40F7C">
        <w:rPr>
          <w:rFonts w:ascii="TUOS Blake" w:hAnsi="TUOS Blake"/>
          <w:b/>
          <w:sz w:val="22"/>
          <w:szCs w:val="22"/>
        </w:rPr>
        <w:t xml:space="preserve">Conclusions: </w:t>
      </w:r>
      <w:r w:rsidRPr="00D40F7C">
        <w:rPr>
          <w:rFonts w:ascii="TUOS Blake" w:hAnsi="TUOS Blake"/>
          <w:sz w:val="22"/>
          <w:szCs w:val="22"/>
        </w:rPr>
        <w:t>The biophysical, biological and functional properties of the developing neonatal SC are transitional from birth to 4 weeks of age and differ to adults. The elevation in KLK-7 activity during this period occurs via a mechanism seemingly independent from skin-surface pH. The presence of impaired barrier function with elevated protease activity and reduced NMF at birth suggests why certain infants are predisposed to epidermal barrier breakdown and the development of AD.</w:t>
      </w:r>
    </w:p>
    <w:p w:rsidR="00AC6F90" w:rsidRDefault="00AC6F90"/>
    <w:sectPr w:rsidR="00AC6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OS Blake">
    <w:panose1 w:val="020B0503040000020004"/>
    <w:charset w:val="00"/>
    <w:family w:val="swiss"/>
    <w:pitch w:val="variable"/>
    <w:sig w:usb0="8000002F" w:usb1="4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7C"/>
    <w:rsid w:val="00083DC0"/>
    <w:rsid w:val="0020717C"/>
    <w:rsid w:val="00AC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60602-7E55-44D8-BC62-DC457ABA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UOS Blake" w:eastAsiaTheme="minorHAnsi" w:hAnsi="TUOS Blake"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1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Palmer</dc:creator>
  <cp:keywords/>
  <dc:description/>
  <cp:lastModifiedBy>Windows User</cp:lastModifiedBy>
  <cp:revision>2</cp:revision>
  <dcterms:created xsi:type="dcterms:W3CDTF">2019-11-19T13:52:00Z</dcterms:created>
  <dcterms:modified xsi:type="dcterms:W3CDTF">2019-11-19T13:52:00Z</dcterms:modified>
</cp:coreProperties>
</file>