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DB" w:rsidRPr="00C837E8" w:rsidRDefault="006D14DB" w:rsidP="006D14DB">
      <w:pPr>
        <w:spacing w:after="120" w:line="288" w:lineRule="auto"/>
        <w:jc w:val="center"/>
        <w:rPr>
          <w:rFonts w:ascii="TUOS Blake" w:eastAsia="MS Gothic" w:hAnsi="TUOS Blake"/>
          <w:b/>
          <w:sz w:val="22"/>
          <w:szCs w:val="22"/>
        </w:rPr>
      </w:pPr>
      <w:bookmarkStart w:id="0" w:name="_GoBack"/>
      <w:bookmarkEnd w:id="0"/>
      <w:r>
        <w:rPr>
          <w:rFonts w:ascii="TUOS Blake" w:eastAsia="MS Gothic" w:hAnsi="TUOS Blake"/>
          <w:b/>
          <w:sz w:val="22"/>
          <w:szCs w:val="22"/>
        </w:rPr>
        <w:t>Abnormal corneodesmosome</w:t>
      </w:r>
      <w:r w:rsidRPr="00C837E8">
        <w:rPr>
          <w:rFonts w:ascii="TUOS Blake" w:eastAsia="MS Gothic" w:hAnsi="TUOS Blake"/>
          <w:b/>
          <w:sz w:val="22"/>
          <w:szCs w:val="22"/>
        </w:rPr>
        <w:t xml:space="preserve"> </w:t>
      </w:r>
      <w:r>
        <w:rPr>
          <w:rFonts w:ascii="TUOS Blake" w:eastAsia="MS Gothic" w:hAnsi="TUOS Blake"/>
          <w:b/>
          <w:sz w:val="22"/>
          <w:szCs w:val="22"/>
        </w:rPr>
        <w:t>distribution in atopic dermatitis</w:t>
      </w:r>
      <w:r w:rsidRPr="00C837E8">
        <w:rPr>
          <w:rFonts w:ascii="TUOS Blake" w:eastAsia="MS Gothic" w:hAnsi="TUOS Blake"/>
          <w:b/>
          <w:sz w:val="22"/>
          <w:szCs w:val="22"/>
        </w:rPr>
        <w:t xml:space="preserve"> </w:t>
      </w:r>
      <w:r>
        <w:rPr>
          <w:rFonts w:ascii="TUOS Blake" w:eastAsia="MS Gothic" w:hAnsi="TUOS Blake"/>
          <w:b/>
          <w:sz w:val="22"/>
          <w:szCs w:val="22"/>
        </w:rPr>
        <w:t>and soap-induced xerosis</w:t>
      </w:r>
    </w:p>
    <w:p w:rsidR="006D14DB" w:rsidRPr="00F23CA3" w:rsidRDefault="006D14DB" w:rsidP="006D14DB">
      <w:pPr>
        <w:spacing w:after="240" w:line="288" w:lineRule="auto"/>
        <w:jc w:val="center"/>
        <w:rPr>
          <w:rFonts w:ascii="TUOS Blake" w:eastAsia="MS Gothic" w:hAnsi="TUOS Blake"/>
          <w:sz w:val="20"/>
          <w:szCs w:val="20"/>
        </w:rPr>
      </w:pPr>
      <w:r w:rsidRPr="00F23CA3">
        <w:rPr>
          <w:rFonts w:ascii="TUOS Blake" w:eastAsia="MS Gothic" w:hAnsi="TUOS Blake"/>
          <w:sz w:val="20"/>
          <w:szCs w:val="20"/>
        </w:rPr>
        <w:t>15</w:t>
      </w:r>
      <w:r w:rsidRPr="00F23CA3">
        <w:rPr>
          <w:rFonts w:ascii="TUOS Blake" w:eastAsia="MS Gothic" w:hAnsi="TUOS Blake"/>
          <w:sz w:val="20"/>
          <w:szCs w:val="20"/>
          <w:vertAlign w:val="superscript"/>
        </w:rPr>
        <w:t>th</w:t>
      </w:r>
      <w:r w:rsidRPr="00F23CA3">
        <w:rPr>
          <w:rFonts w:ascii="TUOS Blake" w:eastAsia="MS Gothic" w:hAnsi="TUOS Blake"/>
          <w:sz w:val="20"/>
          <w:szCs w:val="20"/>
        </w:rPr>
        <w:t xml:space="preserve"> Skin Forum annual meeting 2016, London, UK</w:t>
      </w:r>
    </w:p>
    <w:p w:rsidR="006D14DB" w:rsidRPr="00C837E8" w:rsidRDefault="006D14DB" w:rsidP="006D14DB">
      <w:pPr>
        <w:spacing w:after="120" w:line="288" w:lineRule="auto"/>
        <w:jc w:val="both"/>
        <w:rPr>
          <w:rFonts w:ascii="TUOS Blake" w:hAnsi="TUOS Blake"/>
          <w:b/>
          <w:i/>
          <w:sz w:val="22"/>
          <w:szCs w:val="22"/>
        </w:rPr>
      </w:pPr>
      <w:r w:rsidRPr="00C837E8">
        <w:rPr>
          <w:rFonts w:ascii="TUOS Blake" w:hAnsi="TUOS Blake"/>
          <w:b/>
          <w:sz w:val="22"/>
          <w:szCs w:val="22"/>
        </w:rPr>
        <w:t>Background:</w:t>
      </w:r>
      <w:r w:rsidRPr="00C837E8">
        <w:rPr>
          <w:rFonts w:ascii="TUOS Blake" w:hAnsi="TUOS Blake"/>
          <w:sz w:val="22"/>
          <w:szCs w:val="22"/>
        </w:rPr>
        <w:t xml:space="preserve"> In the stratum corneum (SC), inter-corneocyte cohesion is provided by corneodesmosomes. In healthy skin, corneodesmosomes are distributed uniformly across the corneocyte surface in the basal SC layers, becoming degraded as the corneocyte matures, leaving only peripheral corneodesmosomes at the SC surface. This gradual loss of corneocyte cohesion is regulated by numerous SC proteases to facilitate desquamation. In atopic dermatitis and soap-induced xerosis, there is abnormal corneodesmosome degradation.</w:t>
      </w:r>
    </w:p>
    <w:p w:rsidR="006D14DB" w:rsidRPr="00C837E8" w:rsidRDefault="006D14DB" w:rsidP="006D14DB">
      <w:pPr>
        <w:spacing w:after="120" w:line="288" w:lineRule="auto"/>
        <w:jc w:val="both"/>
        <w:rPr>
          <w:rFonts w:ascii="TUOS Blake" w:hAnsi="TUOS Blake"/>
          <w:b/>
          <w:i/>
          <w:sz w:val="22"/>
          <w:szCs w:val="22"/>
        </w:rPr>
      </w:pPr>
      <w:r w:rsidRPr="00C837E8">
        <w:rPr>
          <w:rFonts w:ascii="TUOS Blake" w:hAnsi="TUOS Blake"/>
          <w:b/>
          <w:sz w:val="22"/>
          <w:szCs w:val="22"/>
        </w:rPr>
        <w:t>Objective:</w:t>
      </w:r>
      <w:r w:rsidRPr="00C837E8">
        <w:rPr>
          <w:rFonts w:ascii="TUOS Blake" w:hAnsi="TUOS Blake"/>
          <w:sz w:val="22"/>
          <w:szCs w:val="22"/>
        </w:rPr>
        <w:t xml:space="preserve"> To investigate the functional consequences of elevated proteases in the skin.</w:t>
      </w:r>
    </w:p>
    <w:p w:rsidR="006D14DB" w:rsidRPr="00C837E8" w:rsidRDefault="006D14DB" w:rsidP="006D14DB">
      <w:pPr>
        <w:spacing w:after="120" w:line="288" w:lineRule="auto"/>
        <w:jc w:val="both"/>
        <w:rPr>
          <w:rFonts w:ascii="TUOS Blake" w:hAnsi="TUOS Blake"/>
          <w:b/>
          <w:sz w:val="22"/>
          <w:szCs w:val="22"/>
        </w:rPr>
      </w:pPr>
      <w:r w:rsidRPr="00C837E8">
        <w:rPr>
          <w:rFonts w:ascii="TUOS Blake" w:hAnsi="TUOS Blake"/>
          <w:b/>
          <w:sz w:val="22"/>
          <w:szCs w:val="22"/>
        </w:rPr>
        <w:t xml:space="preserve">Methods: </w:t>
      </w:r>
      <w:r w:rsidRPr="00C837E8">
        <w:rPr>
          <w:rFonts w:ascii="TUOS Blake" w:hAnsi="TUOS Blake"/>
          <w:sz w:val="22"/>
          <w:szCs w:val="22"/>
        </w:rPr>
        <w:t>2 cohorts were recruited. Cohort 1 contained a control group (n=12) and an AD group (n=12). Cohort 2 (n=5) induced xerosis using an alkyl carboxylate soap on one forearm, whilst leaving the other forearm untreated. Tape-strips collected from volar forearms were fluorescently stained for 2 corneodesmosome proteins: desmoglein-1 and desmocollin-1, then observed using confocal microscopy. The distribution of desmoglein-1 and desmocollin-1 across corneocytes was scored from 1 (uniform) to 4 (peripheral). Transepidermal water loss (TEWL), skin-surface-pH, and protease activity were also measured in both cohorts.</w:t>
      </w:r>
    </w:p>
    <w:p w:rsidR="006D14DB" w:rsidRPr="00C837E8" w:rsidRDefault="006D14DB" w:rsidP="006D14DB">
      <w:pPr>
        <w:spacing w:after="120" w:line="288" w:lineRule="auto"/>
        <w:jc w:val="both"/>
        <w:rPr>
          <w:rFonts w:ascii="TUOS Blake" w:hAnsi="TUOS Blake"/>
          <w:b/>
          <w:sz w:val="22"/>
          <w:szCs w:val="22"/>
        </w:rPr>
      </w:pPr>
      <w:r w:rsidRPr="00C837E8">
        <w:rPr>
          <w:rFonts w:ascii="TUOS Blake" w:hAnsi="TUOS Blake"/>
          <w:b/>
          <w:sz w:val="22"/>
          <w:szCs w:val="22"/>
        </w:rPr>
        <w:t>Results:</w:t>
      </w:r>
      <w:r w:rsidRPr="00C837E8">
        <w:rPr>
          <w:rFonts w:ascii="TUOS Blake" w:hAnsi="TUOS Blake"/>
          <w:sz w:val="22"/>
          <w:szCs w:val="22"/>
        </w:rPr>
        <w:t xml:space="preserve"> In AD there was a more uniform desmoglein-1 distribution at the SC surface compared to healthy skin (score of 2.96 compared to 3.45), as well as elevated TEWL (16.25</w:t>
      </w:r>
      <w:r w:rsidRPr="00C837E8">
        <w:rPr>
          <w:rFonts w:ascii="TUOS Blake" w:hAnsi="TUOS Blake"/>
          <w:bCs/>
          <w:spacing w:val="-4"/>
          <w:kern w:val="1"/>
          <w:sz w:val="22"/>
          <w:szCs w:val="22"/>
          <w:lang w:val="en-US"/>
        </w:rPr>
        <w:t>g/m</w:t>
      </w:r>
      <w:r w:rsidRPr="00C837E8">
        <w:rPr>
          <w:rFonts w:ascii="TUOS Blake" w:hAnsi="TUOS Blake"/>
          <w:bCs/>
          <w:spacing w:val="-4"/>
          <w:kern w:val="1"/>
          <w:sz w:val="22"/>
          <w:szCs w:val="22"/>
          <w:vertAlign w:val="superscript"/>
          <w:lang w:val="en-US"/>
        </w:rPr>
        <w:t>2</w:t>
      </w:r>
      <w:r w:rsidRPr="00C837E8">
        <w:rPr>
          <w:rFonts w:ascii="TUOS Blake" w:hAnsi="TUOS Blake"/>
          <w:bCs/>
          <w:spacing w:val="-4"/>
          <w:kern w:val="1"/>
          <w:sz w:val="22"/>
          <w:szCs w:val="22"/>
          <w:lang w:val="en-US"/>
        </w:rPr>
        <w:t>/h</w:t>
      </w:r>
      <w:r w:rsidRPr="00C837E8">
        <w:rPr>
          <w:rFonts w:ascii="TUOS Blake" w:hAnsi="TUOS Blake"/>
          <w:sz w:val="22"/>
          <w:szCs w:val="22"/>
        </w:rPr>
        <w:t xml:space="preserve"> compared to 10.92</w:t>
      </w:r>
      <w:r w:rsidRPr="00C837E8">
        <w:rPr>
          <w:rFonts w:ascii="TUOS Blake" w:hAnsi="TUOS Blake"/>
          <w:bCs/>
          <w:spacing w:val="-4"/>
          <w:kern w:val="1"/>
          <w:sz w:val="22"/>
          <w:szCs w:val="22"/>
          <w:lang w:val="en-US"/>
        </w:rPr>
        <w:t>g/m</w:t>
      </w:r>
      <w:r w:rsidRPr="00C837E8">
        <w:rPr>
          <w:rFonts w:ascii="TUOS Blake" w:hAnsi="TUOS Blake"/>
          <w:bCs/>
          <w:spacing w:val="-4"/>
          <w:kern w:val="1"/>
          <w:sz w:val="22"/>
          <w:szCs w:val="22"/>
          <w:vertAlign w:val="superscript"/>
          <w:lang w:val="en-US"/>
        </w:rPr>
        <w:t>2</w:t>
      </w:r>
      <w:r w:rsidRPr="00C837E8">
        <w:rPr>
          <w:rFonts w:ascii="TUOS Blake" w:hAnsi="TUOS Blake"/>
          <w:bCs/>
          <w:spacing w:val="-4"/>
          <w:kern w:val="1"/>
          <w:sz w:val="22"/>
          <w:szCs w:val="22"/>
          <w:lang w:val="en-US"/>
        </w:rPr>
        <w:t>/h)</w:t>
      </w:r>
      <w:r w:rsidRPr="00C837E8">
        <w:rPr>
          <w:rFonts w:ascii="TUOS Blake" w:hAnsi="TUOS Blake"/>
          <w:sz w:val="22"/>
          <w:szCs w:val="22"/>
        </w:rPr>
        <w:t>, skin-surface-pH (4.97 compared to 4.75), and protease activity (tryptic – 2.74</w:t>
      </w:r>
      <w:r w:rsidRPr="00C837E8">
        <w:rPr>
          <w:rFonts w:ascii="TUOS Blake" w:hAnsi="TUOS Blake"/>
          <w:bCs/>
          <w:spacing w:val="-4"/>
          <w:kern w:val="1"/>
          <w:sz w:val="22"/>
          <w:szCs w:val="22"/>
          <w:lang w:val="en-US"/>
        </w:rPr>
        <w:t>nU/µg</w:t>
      </w:r>
      <w:r w:rsidRPr="00C837E8">
        <w:rPr>
          <w:rFonts w:ascii="TUOS Blake" w:hAnsi="TUOS Blake"/>
          <w:sz w:val="22"/>
          <w:szCs w:val="22"/>
        </w:rPr>
        <w:t xml:space="preserve"> compared to 0.51</w:t>
      </w:r>
      <w:r w:rsidRPr="00C837E8">
        <w:rPr>
          <w:rFonts w:ascii="TUOS Blake" w:hAnsi="TUOS Blake"/>
          <w:bCs/>
          <w:spacing w:val="-4"/>
          <w:kern w:val="1"/>
          <w:sz w:val="22"/>
          <w:szCs w:val="22"/>
          <w:lang w:val="en-US"/>
        </w:rPr>
        <w:t xml:space="preserve"> nU/µg</w:t>
      </w:r>
      <w:r w:rsidRPr="00C837E8">
        <w:rPr>
          <w:rFonts w:ascii="TUOS Blake" w:hAnsi="TUOS Blake"/>
          <w:sz w:val="22"/>
          <w:szCs w:val="22"/>
        </w:rPr>
        <w:t>, chymotryptic – 1.52</w:t>
      </w:r>
      <w:r w:rsidRPr="00C837E8">
        <w:rPr>
          <w:rFonts w:ascii="TUOS Blake" w:hAnsi="TUOS Blake"/>
          <w:bCs/>
          <w:spacing w:val="-4"/>
          <w:kern w:val="1"/>
          <w:sz w:val="22"/>
          <w:szCs w:val="22"/>
          <w:lang w:val="en-US"/>
        </w:rPr>
        <w:t>nU/µg</w:t>
      </w:r>
      <w:r w:rsidRPr="00C837E8">
        <w:rPr>
          <w:rFonts w:ascii="TUOS Blake" w:hAnsi="TUOS Blake"/>
          <w:sz w:val="22"/>
          <w:szCs w:val="22"/>
        </w:rPr>
        <w:t xml:space="preserve"> compared to 0.96</w:t>
      </w:r>
      <w:r w:rsidRPr="00C837E8">
        <w:rPr>
          <w:rFonts w:ascii="TUOS Blake" w:hAnsi="TUOS Blake"/>
          <w:bCs/>
          <w:spacing w:val="-4"/>
          <w:kern w:val="1"/>
          <w:sz w:val="22"/>
          <w:szCs w:val="22"/>
          <w:lang w:val="en-US"/>
        </w:rPr>
        <w:t>nU/µg</w:t>
      </w:r>
      <w:r w:rsidRPr="00C837E8">
        <w:rPr>
          <w:rFonts w:ascii="TUOS Blake" w:hAnsi="TUOS Blake"/>
          <w:sz w:val="22"/>
          <w:szCs w:val="22"/>
        </w:rPr>
        <w:t>, and caseinolytic – 7.08</w:t>
      </w:r>
      <w:r w:rsidRPr="00C837E8">
        <w:rPr>
          <w:rFonts w:ascii="TUOS Blake" w:hAnsi="TUOS Blake"/>
          <w:bCs/>
          <w:spacing w:val="-4"/>
          <w:kern w:val="1"/>
          <w:sz w:val="22"/>
          <w:szCs w:val="22"/>
          <w:lang w:val="en-US"/>
        </w:rPr>
        <w:t>nU/µg</w:t>
      </w:r>
      <w:r w:rsidRPr="00C837E8">
        <w:rPr>
          <w:rFonts w:ascii="TUOS Blake" w:hAnsi="TUOS Blake"/>
          <w:sz w:val="22"/>
          <w:szCs w:val="22"/>
        </w:rPr>
        <w:t xml:space="preserve"> compared to 2.51</w:t>
      </w:r>
      <w:r w:rsidRPr="00C837E8">
        <w:rPr>
          <w:rFonts w:ascii="TUOS Blake" w:hAnsi="TUOS Blake"/>
          <w:bCs/>
          <w:spacing w:val="-4"/>
          <w:kern w:val="1"/>
          <w:sz w:val="22"/>
          <w:szCs w:val="22"/>
          <w:lang w:val="en-US"/>
        </w:rPr>
        <w:t>nU/µg</w:t>
      </w:r>
      <w:r w:rsidRPr="00C837E8">
        <w:rPr>
          <w:rFonts w:ascii="TUOS Blake" w:hAnsi="TUOS Blake"/>
          <w:sz w:val="22"/>
          <w:szCs w:val="22"/>
        </w:rPr>
        <w:t>). There was also a reduction in corneocyte size (718</w:t>
      </w:r>
      <w:r w:rsidRPr="00C837E8">
        <w:rPr>
          <w:rFonts w:ascii="TUOS Blake" w:hAnsi="TUOS Blake"/>
          <w:bCs/>
          <w:spacing w:val="-4"/>
          <w:kern w:val="1"/>
          <w:sz w:val="22"/>
          <w:szCs w:val="22"/>
          <w:lang w:val="en-US"/>
        </w:rPr>
        <w:t>µm</w:t>
      </w:r>
      <w:r w:rsidRPr="00C837E8">
        <w:rPr>
          <w:rFonts w:ascii="TUOS Blake" w:hAnsi="TUOS Blake"/>
          <w:bCs/>
          <w:spacing w:val="-4"/>
          <w:kern w:val="1"/>
          <w:sz w:val="22"/>
          <w:szCs w:val="22"/>
          <w:vertAlign w:val="superscript"/>
          <w:lang w:val="en-US"/>
        </w:rPr>
        <w:t>2</w:t>
      </w:r>
      <w:r w:rsidRPr="00C837E8">
        <w:rPr>
          <w:rFonts w:ascii="TUOS Blake" w:hAnsi="TUOS Blake"/>
          <w:sz w:val="22"/>
          <w:szCs w:val="22"/>
        </w:rPr>
        <w:t xml:space="preserve"> compared to 828</w:t>
      </w:r>
      <w:r w:rsidRPr="00C837E8">
        <w:rPr>
          <w:rFonts w:ascii="TUOS Blake" w:hAnsi="TUOS Blake"/>
          <w:bCs/>
          <w:spacing w:val="-4"/>
          <w:kern w:val="1"/>
          <w:sz w:val="22"/>
          <w:szCs w:val="22"/>
          <w:lang w:val="en-US"/>
        </w:rPr>
        <w:t>µm</w:t>
      </w:r>
      <w:r w:rsidRPr="00C837E8">
        <w:rPr>
          <w:rFonts w:ascii="TUOS Blake" w:hAnsi="TUOS Blake"/>
          <w:bCs/>
          <w:spacing w:val="-4"/>
          <w:kern w:val="1"/>
          <w:sz w:val="22"/>
          <w:szCs w:val="22"/>
          <w:vertAlign w:val="superscript"/>
          <w:lang w:val="en-US"/>
        </w:rPr>
        <w:t>2</w:t>
      </w:r>
      <w:r w:rsidRPr="00C837E8">
        <w:rPr>
          <w:rFonts w:ascii="TUOS Blake" w:hAnsi="TUOS Blake"/>
          <w:bCs/>
          <w:spacing w:val="-4"/>
          <w:kern w:val="1"/>
          <w:sz w:val="22"/>
          <w:szCs w:val="22"/>
          <w:lang w:val="en-US"/>
        </w:rPr>
        <w:t>)</w:t>
      </w:r>
      <w:r w:rsidRPr="00C837E8">
        <w:rPr>
          <w:rFonts w:ascii="TUOS Blake" w:hAnsi="TUOS Blake"/>
          <w:sz w:val="22"/>
          <w:szCs w:val="22"/>
        </w:rPr>
        <w:t xml:space="preserve"> and SC thickness (4.15</w:t>
      </w:r>
      <w:r w:rsidRPr="00C837E8">
        <w:rPr>
          <w:rFonts w:ascii="TUOS Blake" w:hAnsi="TUOS Blake"/>
          <w:bCs/>
          <w:spacing w:val="-4"/>
          <w:kern w:val="1"/>
          <w:sz w:val="22"/>
          <w:szCs w:val="22"/>
          <w:lang w:val="en-US"/>
        </w:rPr>
        <w:t>µm</w:t>
      </w:r>
      <w:r w:rsidRPr="00C837E8">
        <w:rPr>
          <w:rFonts w:ascii="TUOS Blake" w:hAnsi="TUOS Blake"/>
          <w:sz w:val="22"/>
          <w:szCs w:val="22"/>
        </w:rPr>
        <w:t xml:space="preserve"> compared to 5.38</w:t>
      </w:r>
      <w:r w:rsidRPr="00C837E8">
        <w:rPr>
          <w:rFonts w:ascii="TUOS Blake" w:hAnsi="TUOS Blake"/>
          <w:bCs/>
          <w:spacing w:val="-4"/>
          <w:kern w:val="1"/>
          <w:sz w:val="22"/>
          <w:szCs w:val="22"/>
          <w:lang w:val="en-US"/>
        </w:rPr>
        <w:t>µm</w:t>
      </w:r>
      <w:r w:rsidRPr="00C837E8">
        <w:rPr>
          <w:rFonts w:ascii="TUOS Blake" w:hAnsi="TUOS Blake"/>
          <w:sz w:val="22"/>
          <w:szCs w:val="22"/>
        </w:rPr>
        <w:t>). In soap-induced xerosis there was a more peripheral desmoglein-1 and desmocollin-1 distribution at the SC surface compared to untreated skin (score of 3.77 compared to 3.39, and a score of 2.57 compared to 1.48, respectively), as well as elevated TEWL (21.35</w:t>
      </w:r>
      <w:r w:rsidRPr="00C837E8">
        <w:rPr>
          <w:rFonts w:ascii="TUOS Blake" w:hAnsi="TUOS Blake"/>
          <w:bCs/>
          <w:spacing w:val="-4"/>
          <w:kern w:val="1"/>
          <w:sz w:val="22"/>
          <w:szCs w:val="22"/>
          <w:lang w:val="en-US"/>
        </w:rPr>
        <w:t>g/m</w:t>
      </w:r>
      <w:r w:rsidRPr="00C837E8">
        <w:rPr>
          <w:rFonts w:ascii="TUOS Blake" w:hAnsi="TUOS Blake"/>
          <w:bCs/>
          <w:spacing w:val="-4"/>
          <w:kern w:val="1"/>
          <w:sz w:val="22"/>
          <w:szCs w:val="22"/>
          <w:vertAlign w:val="superscript"/>
          <w:lang w:val="en-US"/>
        </w:rPr>
        <w:t>2</w:t>
      </w:r>
      <w:r w:rsidRPr="00C837E8">
        <w:rPr>
          <w:rFonts w:ascii="TUOS Blake" w:hAnsi="TUOS Blake"/>
          <w:bCs/>
          <w:spacing w:val="-4"/>
          <w:kern w:val="1"/>
          <w:sz w:val="22"/>
          <w:szCs w:val="22"/>
          <w:lang w:val="en-US"/>
        </w:rPr>
        <w:t>/h</w:t>
      </w:r>
      <w:r w:rsidRPr="00C837E8">
        <w:rPr>
          <w:rFonts w:ascii="TUOS Blake" w:hAnsi="TUOS Blake"/>
          <w:sz w:val="22"/>
          <w:szCs w:val="22"/>
        </w:rPr>
        <w:t xml:space="preserve"> compared to 14.5</w:t>
      </w:r>
      <w:r w:rsidRPr="00C837E8">
        <w:rPr>
          <w:rFonts w:ascii="TUOS Blake" w:hAnsi="TUOS Blake"/>
          <w:bCs/>
          <w:spacing w:val="-4"/>
          <w:kern w:val="1"/>
          <w:sz w:val="22"/>
          <w:szCs w:val="22"/>
          <w:lang w:val="en-US"/>
        </w:rPr>
        <w:t>g/m</w:t>
      </w:r>
      <w:r w:rsidRPr="00C837E8">
        <w:rPr>
          <w:rFonts w:ascii="TUOS Blake" w:hAnsi="TUOS Blake"/>
          <w:bCs/>
          <w:spacing w:val="-4"/>
          <w:kern w:val="1"/>
          <w:sz w:val="22"/>
          <w:szCs w:val="22"/>
          <w:vertAlign w:val="superscript"/>
          <w:lang w:val="en-US"/>
        </w:rPr>
        <w:t>2</w:t>
      </w:r>
      <w:r w:rsidRPr="00C837E8">
        <w:rPr>
          <w:rFonts w:ascii="TUOS Blake" w:hAnsi="TUOS Blake"/>
          <w:bCs/>
          <w:spacing w:val="-4"/>
          <w:kern w:val="1"/>
          <w:sz w:val="22"/>
          <w:szCs w:val="22"/>
          <w:lang w:val="en-US"/>
        </w:rPr>
        <w:t>/h)</w:t>
      </w:r>
      <w:r w:rsidRPr="00C837E8">
        <w:rPr>
          <w:rFonts w:ascii="TUOS Blake" w:hAnsi="TUOS Blake"/>
          <w:sz w:val="22"/>
          <w:szCs w:val="22"/>
        </w:rPr>
        <w:t>, skin-surface-pH (7.35 compared to 5.98), and protease activity (chymotryptic – 4.75</w:t>
      </w:r>
      <w:r w:rsidRPr="00C837E8">
        <w:rPr>
          <w:rFonts w:ascii="TUOS Blake" w:hAnsi="TUOS Blake"/>
          <w:bCs/>
          <w:spacing w:val="-4"/>
          <w:kern w:val="1"/>
          <w:sz w:val="22"/>
          <w:szCs w:val="22"/>
          <w:lang w:val="en-US"/>
        </w:rPr>
        <w:t>nU/µg</w:t>
      </w:r>
      <w:r w:rsidRPr="00C837E8">
        <w:rPr>
          <w:rFonts w:ascii="TUOS Blake" w:hAnsi="TUOS Blake"/>
          <w:sz w:val="22"/>
          <w:szCs w:val="22"/>
        </w:rPr>
        <w:t xml:space="preserve"> compared to 0.68</w:t>
      </w:r>
      <w:r w:rsidRPr="00C837E8">
        <w:rPr>
          <w:rFonts w:ascii="TUOS Blake" w:hAnsi="TUOS Blake"/>
          <w:bCs/>
          <w:spacing w:val="-4"/>
          <w:kern w:val="1"/>
          <w:sz w:val="22"/>
          <w:szCs w:val="22"/>
          <w:lang w:val="en-US"/>
        </w:rPr>
        <w:t>nU/µg</w:t>
      </w:r>
      <w:r w:rsidRPr="00C837E8">
        <w:rPr>
          <w:rFonts w:ascii="TUOS Blake" w:hAnsi="TUOS Blake"/>
          <w:sz w:val="22"/>
          <w:szCs w:val="22"/>
        </w:rPr>
        <w:t>).</w:t>
      </w:r>
    </w:p>
    <w:p w:rsidR="006D14DB" w:rsidRPr="00C837E8" w:rsidRDefault="006D14DB" w:rsidP="006D14DB">
      <w:pPr>
        <w:spacing w:line="288" w:lineRule="auto"/>
        <w:jc w:val="both"/>
        <w:rPr>
          <w:rFonts w:ascii="TUOS Blake" w:hAnsi="TUOS Blake"/>
          <w:b/>
          <w:sz w:val="22"/>
          <w:szCs w:val="22"/>
        </w:rPr>
      </w:pPr>
      <w:r w:rsidRPr="00C837E8">
        <w:rPr>
          <w:rFonts w:ascii="TUOS Blake" w:hAnsi="TUOS Blake"/>
          <w:b/>
          <w:sz w:val="22"/>
          <w:szCs w:val="22"/>
        </w:rPr>
        <w:t>Conclusions:</w:t>
      </w:r>
      <w:r w:rsidRPr="00C837E8">
        <w:rPr>
          <w:rFonts w:ascii="TUOS Blake" w:hAnsi="TUOS Blake"/>
          <w:sz w:val="22"/>
          <w:szCs w:val="22"/>
        </w:rPr>
        <w:t xml:space="preserve"> In AD, the altered surface degradation pattern suggests increased proteolysis of peripheral corneodesmosomes as a result of elevated protease activity, leading to premature SC shedding. The opposite effect is seen in soap-induced xerosis, whereby elevated protease activity appears to accelerate the loss of all but peripheral corneodesmosomes, leading to xerotic skin. In both instances, elevated SC proteases resulted in reduced skin barrier function.</w:t>
      </w:r>
    </w:p>
    <w:p w:rsidR="00AC6F90" w:rsidRDefault="00AC6F90"/>
    <w:sectPr w:rsid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DB"/>
    <w:rsid w:val="006D14DB"/>
    <w:rsid w:val="00832CDD"/>
    <w:rsid w:val="00AC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A782-5649-4006-8898-CDF0134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2019-11-19T13:47:00Z</dcterms:created>
  <dcterms:modified xsi:type="dcterms:W3CDTF">2019-11-19T13:47:00Z</dcterms:modified>
</cp:coreProperties>
</file>