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35C" w:rsidRPr="00D47DE7" w:rsidRDefault="0042335C" w:rsidP="0042335C">
      <w:pPr>
        <w:spacing w:after="120" w:line="288" w:lineRule="auto"/>
        <w:jc w:val="center"/>
        <w:rPr>
          <w:rFonts w:ascii="TUOS Blake" w:hAnsi="TUOS Blake"/>
          <w:b/>
          <w:bCs/>
          <w:sz w:val="22"/>
          <w:szCs w:val="22"/>
        </w:rPr>
      </w:pPr>
      <w:bookmarkStart w:id="0" w:name="_GoBack"/>
      <w:bookmarkEnd w:id="0"/>
      <w:r>
        <w:rPr>
          <w:rFonts w:ascii="TUOS Blake" w:hAnsi="TUOS Blake"/>
          <w:b/>
          <w:bCs/>
          <w:sz w:val="22"/>
          <w:szCs w:val="22"/>
        </w:rPr>
        <w:t>Characterizing the microcirculation of atopic dermatitis using angiographic optical coherence tomography</w:t>
      </w:r>
    </w:p>
    <w:p w:rsidR="0042335C" w:rsidRPr="00DD40E1" w:rsidRDefault="0042335C" w:rsidP="0042335C">
      <w:pPr>
        <w:spacing w:after="240" w:line="288" w:lineRule="auto"/>
        <w:jc w:val="center"/>
        <w:rPr>
          <w:rFonts w:ascii="TUOS Blake" w:hAnsi="TUOS Blake"/>
          <w:sz w:val="20"/>
          <w:szCs w:val="20"/>
        </w:rPr>
      </w:pPr>
      <w:r>
        <w:rPr>
          <w:rFonts w:ascii="TUOS Blake" w:hAnsi="TUOS Blake"/>
          <w:sz w:val="20"/>
          <w:szCs w:val="20"/>
        </w:rPr>
        <w:t>67</w:t>
      </w:r>
      <w:r w:rsidRPr="001C65B3">
        <w:rPr>
          <w:rFonts w:ascii="TUOS Blake" w:hAnsi="TUOS Blake"/>
          <w:sz w:val="20"/>
          <w:szCs w:val="20"/>
          <w:vertAlign w:val="superscript"/>
        </w:rPr>
        <w:t>th</w:t>
      </w:r>
      <w:r>
        <w:rPr>
          <w:rFonts w:ascii="TUOS Blake" w:hAnsi="TUOS Blake"/>
          <w:sz w:val="20"/>
          <w:szCs w:val="20"/>
        </w:rPr>
        <w:t xml:space="preserve"> Annual meeting of the British Microcirculation Society 2017, Birmingham, UK</w:t>
      </w:r>
    </w:p>
    <w:p w:rsidR="0042335C" w:rsidRDefault="0042335C" w:rsidP="0042335C">
      <w:pPr>
        <w:spacing w:after="120" w:line="288" w:lineRule="auto"/>
        <w:jc w:val="both"/>
        <w:rPr>
          <w:rFonts w:ascii="TUOS Blake" w:hAnsi="TUOS Blake" w:cstheme="minorHAnsi"/>
          <w:sz w:val="22"/>
          <w:szCs w:val="22"/>
        </w:rPr>
      </w:pPr>
      <w:r w:rsidRPr="008607B4">
        <w:rPr>
          <w:rFonts w:ascii="TUOS Blake" w:hAnsi="TUOS Blake" w:cstheme="minorHAnsi"/>
          <w:b/>
          <w:bCs/>
          <w:sz w:val="22"/>
          <w:szCs w:val="22"/>
        </w:rPr>
        <w:t>Background:</w:t>
      </w:r>
      <w:r w:rsidRPr="00D47DE7">
        <w:rPr>
          <w:rFonts w:ascii="TUOS Blake" w:hAnsi="TUOS Blake" w:cstheme="minorHAnsi"/>
          <w:sz w:val="22"/>
          <w:szCs w:val="22"/>
        </w:rPr>
        <w:t xml:space="preserve"> The microcirculation within localised skin lesions often presents a unique morphology when compared to that of healthy skin. In the case of inflammatory conditions such as atopic dermatitis (AD), epidermal thickening is likely to influence both the depth and shape of the underlying vessels. Optical coherence tomography (OCT) provides a non-invasive view into the tissue, however structural measures of epidermal hyperplasia (thickening) are made challenging due to the lack of a delineated dermal-epidermal junction in AD patients. Instead, angiographic extensions to OCT may allow for direct measurement of vascular depth, potentially presenting a more robust method of estimating the degree of subclinical inflammation</w:t>
      </w:r>
      <w:r>
        <w:rPr>
          <w:rFonts w:ascii="TUOS Blake" w:hAnsi="TUOS Blake" w:cstheme="minorHAnsi"/>
          <w:sz w:val="22"/>
          <w:szCs w:val="22"/>
        </w:rPr>
        <w:t>.</w:t>
      </w:r>
    </w:p>
    <w:p w:rsidR="0042335C" w:rsidRDefault="0042335C" w:rsidP="0042335C">
      <w:pPr>
        <w:spacing w:after="120" w:line="288" w:lineRule="auto"/>
        <w:jc w:val="both"/>
        <w:rPr>
          <w:rFonts w:ascii="TUOS Blake" w:hAnsi="TUOS Blake" w:cstheme="minorHAnsi"/>
          <w:sz w:val="22"/>
          <w:szCs w:val="22"/>
        </w:rPr>
      </w:pPr>
      <w:r w:rsidRPr="00C837E8">
        <w:rPr>
          <w:rFonts w:ascii="TUOS Blake" w:hAnsi="TUOS Blake"/>
          <w:b/>
          <w:sz w:val="22"/>
          <w:szCs w:val="22"/>
        </w:rPr>
        <w:t>Objective:</w:t>
      </w:r>
      <w:r>
        <w:rPr>
          <w:rFonts w:ascii="TUOS Blake" w:hAnsi="TUOS Blake"/>
          <w:b/>
          <w:sz w:val="22"/>
          <w:szCs w:val="22"/>
        </w:rPr>
        <w:t xml:space="preserve"> </w:t>
      </w:r>
      <w:r w:rsidRPr="00D47DE7">
        <w:rPr>
          <w:rFonts w:ascii="TUOS Blake" w:hAnsi="TUOS Blake" w:cstheme="minorHAnsi"/>
          <w:sz w:val="22"/>
          <w:szCs w:val="22"/>
        </w:rPr>
        <w:t>To investigate microcirculatory changes within AD patients</w:t>
      </w:r>
      <w:r>
        <w:rPr>
          <w:rFonts w:ascii="TUOS Blake" w:hAnsi="TUOS Blake" w:cstheme="minorHAnsi"/>
          <w:sz w:val="22"/>
          <w:szCs w:val="22"/>
        </w:rPr>
        <w:t xml:space="preserve"> using OCT.</w:t>
      </w:r>
    </w:p>
    <w:p w:rsidR="0042335C" w:rsidRDefault="0042335C" w:rsidP="0042335C">
      <w:pPr>
        <w:spacing w:after="120" w:line="288" w:lineRule="auto"/>
        <w:jc w:val="both"/>
        <w:rPr>
          <w:rFonts w:ascii="TUOS Blake" w:hAnsi="TUOS Blake" w:cstheme="minorHAnsi"/>
          <w:sz w:val="22"/>
          <w:szCs w:val="22"/>
        </w:rPr>
      </w:pPr>
      <w:r w:rsidRPr="008607B4">
        <w:rPr>
          <w:rFonts w:ascii="TUOS Blake" w:hAnsi="TUOS Blake" w:cstheme="minorHAnsi"/>
          <w:b/>
          <w:bCs/>
          <w:sz w:val="22"/>
          <w:szCs w:val="22"/>
        </w:rPr>
        <w:t>Methods:</w:t>
      </w:r>
      <w:r>
        <w:rPr>
          <w:rFonts w:ascii="TUOS Blake" w:hAnsi="TUOS Blake" w:cstheme="minorHAnsi"/>
          <w:sz w:val="22"/>
          <w:szCs w:val="22"/>
        </w:rPr>
        <w:t xml:space="preserve"> V</w:t>
      </w:r>
      <w:r w:rsidRPr="00D47DE7">
        <w:rPr>
          <w:rFonts w:ascii="TUOS Blake" w:hAnsi="TUOS Blake" w:cstheme="minorHAnsi"/>
          <w:sz w:val="22"/>
          <w:szCs w:val="22"/>
        </w:rPr>
        <w:t>olumes of angiographic OCT data were collected from 5 healthy volunteers and compared to that of 5 AD patients (Mean EASI severity of 8.5±3.3). Test sites included the cubital and popliteal fossa, which are commonly a</w:t>
      </w:r>
      <w:r>
        <w:rPr>
          <w:rFonts w:ascii="TUOS Blake" w:hAnsi="TUOS Blake" w:cstheme="minorHAnsi"/>
          <w:sz w:val="22"/>
          <w:szCs w:val="22"/>
        </w:rPr>
        <w:t xml:space="preserve">ffected by AD. </w:t>
      </w:r>
      <w:r w:rsidRPr="00D47DE7">
        <w:rPr>
          <w:rFonts w:ascii="TUOS Blake" w:hAnsi="TUOS Blake" w:cstheme="minorHAnsi"/>
          <w:sz w:val="22"/>
          <w:szCs w:val="22"/>
        </w:rPr>
        <w:t>Quantitative parameters such as capillary loop depth and superficial vascular plexus depth were derived from each dataset and compared between groups.</w:t>
      </w:r>
    </w:p>
    <w:p w:rsidR="0042335C" w:rsidRPr="00D47DE7" w:rsidRDefault="0042335C" w:rsidP="0042335C">
      <w:pPr>
        <w:spacing w:after="120" w:line="288" w:lineRule="auto"/>
        <w:jc w:val="both"/>
        <w:rPr>
          <w:rFonts w:ascii="TUOS Blake" w:hAnsi="TUOS Blake" w:cstheme="minorHAnsi"/>
          <w:sz w:val="22"/>
          <w:szCs w:val="22"/>
        </w:rPr>
      </w:pPr>
      <w:r w:rsidRPr="008607B4">
        <w:rPr>
          <w:rFonts w:ascii="TUOS Blake" w:hAnsi="TUOS Blake" w:cstheme="minorHAnsi"/>
          <w:b/>
          <w:bCs/>
          <w:sz w:val="22"/>
          <w:szCs w:val="22"/>
        </w:rPr>
        <w:t>Results:</w:t>
      </w:r>
      <w:r w:rsidRPr="00D47DE7">
        <w:rPr>
          <w:rFonts w:ascii="TUOS Blake" w:hAnsi="TUOS Blake" w:cstheme="minorHAnsi"/>
          <w:sz w:val="22"/>
          <w:szCs w:val="22"/>
        </w:rPr>
        <w:t xml:space="preserve"> Capillary loops were significantly (p=0.003) deeper in AD patients (80.5±19.9</w:t>
      </w:r>
      <w:r w:rsidRPr="00D47DE7">
        <w:rPr>
          <w:rFonts w:ascii="Calibri" w:eastAsia="Calibri" w:hAnsi="Calibri" w:cs="Calibri"/>
          <w:sz w:val="22"/>
          <w:szCs w:val="22"/>
        </w:rPr>
        <w:t>μ</w:t>
      </w:r>
      <w:r w:rsidRPr="00D47DE7">
        <w:rPr>
          <w:rFonts w:ascii="TUOS Blake" w:hAnsi="TUOS Blake" w:cstheme="minorHAnsi"/>
          <w:sz w:val="22"/>
          <w:szCs w:val="22"/>
        </w:rPr>
        <w:t>m) compared to healthy controls (59.9±18.2</w:t>
      </w:r>
      <w:r w:rsidRPr="00D47DE7">
        <w:rPr>
          <w:rFonts w:ascii="Calibri" w:eastAsia="Calibri" w:hAnsi="Calibri" w:cs="Calibri"/>
          <w:sz w:val="22"/>
          <w:szCs w:val="22"/>
        </w:rPr>
        <w:t>μ</w:t>
      </w:r>
      <w:r w:rsidRPr="00D47DE7">
        <w:rPr>
          <w:rFonts w:ascii="TUOS Blake" w:hAnsi="TUOS Blake" w:cstheme="minorHAnsi"/>
          <w:sz w:val="22"/>
          <w:szCs w:val="22"/>
        </w:rPr>
        <w:t>m). Similarly, the superficial vascular plexus is deeper in AD patients (199.6±60.5</w:t>
      </w:r>
      <w:r w:rsidRPr="00D47DE7">
        <w:rPr>
          <w:rFonts w:ascii="Calibri" w:eastAsia="Calibri" w:hAnsi="Calibri" w:cs="Calibri"/>
          <w:sz w:val="22"/>
          <w:szCs w:val="22"/>
        </w:rPr>
        <w:t>μ</w:t>
      </w:r>
      <w:r w:rsidRPr="00D47DE7">
        <w:rPr>
          <w:rFonts w:ascii="TUOS Blake" w:hAnsi="TUOS Blake" w:cstheme="minorHAnsi"/>
          <w:sz w:val="22"/>
          <w:szCs w:val="22"/>
        </w:rPr>
        <w:t>m) than healthy (108.2±19.27</w:t>
      </w:r>
      <w:r w:rsidRPr="00D47DE7">
        <w:rPr>
          <w:rFonts w:ascii="Calibri" w:eastAsia="Calibri" w:hAnsi="Calibri" w:cs="Calibri"/>
          <w:sz w:val="22"/>
          <w:szCs w:val="22"/>
        </w:rPr>
        <w:t>μ</w:t>
      </w:r>
      <w:r w:rsidRPr="00D47DE7">
        <w:rPr>
          <w:rFonts w:ascii="TUOS Blake" w:hAnsi="TUOS Blake" w:cstheme="minorHAnsi"/>
          <w:sz w:val="22"/>
          <w:szCs w:val="22"/>
        </w:rPr>
        <w:t>m), likely because of subclinical</w:t>
      </w:r>
      <w:r>
        <w:rPr>
          <w:rFonts w:ascii="TUOS Blake" w:hAnsi="TUOS Blake" w:cstheme="minorHAnsi"/>
          <w:sz w:val="22"/>
          <w:szCs w:val="22"/>
        </w:rPr>
        <w:t xml:space="preserve"> inflammation.</w:t>
      </w:r>
    </w:p>
    <w:p w:rsidR="0042335C" w:rsidRPr="00D47DE7" w:rsidRDefault="0042335C" w:rsidP="0042335C">
      <w:pPr>
        <w:spacing w:line="288" w:lineRule="auto"/>
        <w:jc w:val="both"/>
        <w:rPr>
          <w:rFonts w:ascii="TUOS Blake" w:hAnsi="TUOS Blake" w:cstheme="minorHAnsi"/>
          <w:sz w:val="22"/>
          <w:szCs w:val="22"/>
        </w:rPr>
      </w:pPr>
      <w:r w:rsidRPr="008607B4">
        <w:rPr>
          <w:rFonts w:ascii="TUOS Blake" w:hAnsi="TUOS Blake" w:cstheme="minorHAnsi"/>
          <w:b/>
          <w:bCs/>
          <w:sz w:val="22"/>
          <w:szCs w:val="22"/>
        </w:rPr>
        <w:t>Conclusions:</w:t>
      </w:r>
      <w:r w:rsidRPr="00D47DE7">
        <w:rPr>
          <w:rFonts w:ascii="TUOS Blake" w:hAnsi="TUOS Blake" w:cstheme="minorHAnsi"/>
          <w:sz w:val="22"/>
          <w:szCs w:val="22"/>
        </w:rPr>
        <w:t xml:space="preserve"> Quantifying subtle changes within vascular morphology and depth may give clinicians an indication of subclinical disease progression and aid in evaluating the efficacy of treatments.</w:t>
      </w:r>
    </w:p>
    <w:p w:rsidR="00AC6F90" w:rsidRDefault="00AC6F90"/>
    <w:sectPr w:rsidR="00AC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OS Blake">
    <w:panose1 w:val="020B0503040000020004"/>
    <w:charset w:val="00"/>
    <w:family w:val="swiss"/>
    <w:pitch w:val="variable"/>
    <w:sig w:usb0="8000002F" w:usb1="4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5C"/>
    <w:rsid w:val="0042335C"/>
    <w:rsid w:val="009A4C95"/>
    <w:rsid w:val="00AC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89BF2-4CBB-4D66-AD45-81E84BC9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UOS Blake" w:eastAsiaTheme="minorHAnsi" w:hAnsi="TUOS Blak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3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Palmer</dc:creator>
  <cp:keywords/>
  <dc:description/>
  <cp:lastModifiedBy>Windows User</cp:lastModifiedBy>
  <cp:revision>2</cp:revision>
  <dcterms:created xsi:type="dcterms:W3CDTF">2019-11-19T13:39:00Z</dcterms:created>
  <dcterms:modified xsi:type="dcterms:W3CDTF">2019-11-19T13:39:00Z</dcterms:modified>
</cp:coreProperties>
</file>