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0" w:hanging="2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</w:rPr>
        <w:drawing>
          <wp:inline distB="114300" distT="114300" distL="114300" distR="114300">
            <wp:extent cx="3243263" cy="985060"/>
            <wp:effectExtent b="0" l="0" r="0" t="0"/>
            <wp:docPr id="1038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243263" cy="98506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ind w:left="0" w:hanging="2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681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824"/>
        <w:gridCol w:w="7857"/>
        <w:tblGridChange w:id="0">
          <w:tblGrid>
            <w:gridCol w:w="2824"/>
            <w:gridCol w:w="7857"/>
          </w:tblGrid>
        </w:tblGridChange>
      </w:tblGrid>
      <w:tr>
        <w:trPr>
          <w:cantSplit w:val="0"/>
          <w:trHeight w:val="220" w:hRule="atLeast"/>
          <w:tblHeader w:val="0"/>
        </w:trPr>
        <w:tc>
          <w:tcPr/>
          <w:p w:rsidR="00000000" w:rsidDel="00000000" w:rsidP="00000000" w:rsidRDefault="00000000" w:rsidRPr="00000000" w14:paraId="00000003">
            <w:pPr>
              <w:ind w:left="0" w:hanging="2"/>
              <w:rPr>
                <w:rFonts w:ascii="Calibri" w:cs="Calibri" w:eastAsia="Calibri" w:hAnsi="Calibri"/>
                <w:color w:val="00206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2060"/>
                <w:rtl w:val="0"/>
              </w:rPr>
              <w:t xml:space="preserve">Job Title: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4">
            <w:pPr>
              <w:spacing w:after="160" w:line="259" w:lineRule="auto"/>
              <w:ind w:left="0"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Leverhulme Trust Early Career Fellowships</w:t>
            </w:r>
          </w:p>
        </w:tc>
      </w:tr>
      <w:tr>
        <w:trPr>
          <w:cantSplit w:val="0"/>
          <w:trHeight w:val="679" w:hRule="atLeast"/>
          <w:tblHeader w:val="0"/>
        </w:trPr>
        <w:tc>
          <w:tcPr/>
          <w:p w:rsidR="00000000" w:rsidDel="00000000" w:rsidP="00000000" w:rsidRDefault="00000000" w:rsidRPr="00000000" w14:paraId="00000005">
            <w:pPr>
              <w:ind w:left="0"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2060"/>
                <w:rtl w:val="0"/>
              </w:rPr>
              <w:t xml:space="preserve">Contract Type: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6">
            <w:pPr>
              <w:spacing w:after="160" w:line="259" w:lineRule="auto"/>
              <w:ind w:left="0"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Fixed-term with a start date between 1 September 2027  and 1 May 2028 for a period of 36 months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7">
            <w:pPr>
              <w:ind w:left="0"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2060"/>
                <w:rtl w:val="0"/>
              </w:rPr>
              <w:t xml:space="preserve">Faculty: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8">
            <w:pPr>
              <w:ind w:left="0"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Faculty of Social Sciences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9">
            <w:pPr>
              <w:ind w:left="0" w:hanging="2"/>
              <w:rPr>
                <w:rFonts w:ascii="Calibri" w:cs="Calibri" w:eastAsia="Calibri" w:hAnsi="Calibri"/>
                <w:color w:val="00206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2060"/>
                <w:rtl w:val="0"/>
              </w:rPr>
              <w:t xml:space="preserve">Department: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ind w:left="0"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B">
            <w:pPr>
              <w:ind w:left="0"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Candidates are welcome to submit applications to hold this post</w:t>
            </w:r>
            <w:r w:rsidDel="00000000" w:rsidR="00000000" w:rsidRPr="00000000">
              <w:rPr>
                <w:rFonts w:ascii="Calibri" w:cs="Calibri" w:eastAsia="Calibri" w:hAnsi="Calibri"/>
                <w:color w:val="ff0000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in any department, school or institute listed below within the Faculty of Social Sciences.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C">
            <w:pPr>
              <w:ind w:left="0" w:hanging="2"/>
              <w:rPr>
                <w:rFonts w:ascii="Calibri" w:cs="Calibri" w:eastAsia="Calibri" w:hAnsi="Calibri"/>
                <w:color w:val="00206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2060"/>
                <w:rtl w:val="0"/>
              </w:rPr>
              <w:t xml:space="preserve">Salary: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D">
            <w:pPr>
              <w:ind w:left="0"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Grade 7, from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£38,784 per 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annum</w:t>
            </w:r>
          </w:p>
        </w:tc>
      </w:tr>
      <w:tr>
        <w:trPr>
          <w:cantSplit w:val="0"/>
          <w:trHeight w:val="280" w:hRule="atLeast"/>
          <w:tblHeader w:val="0"/>
        </w:trPr>
        <w:tc>
          <w:tcPr/>
          <w:p w:rsidR="00000000" w:rsidDel="00000000" w:rsidP="00000000" w:rsidRDefault="00000000" w:rsidRPr="00000000" w14:paraId="0000000E">
            <w:pPr>
              <w:ind w:left="0" w:hanging="2"/>
              <w:rPr>
                <w:rFonts w:ascii="Calibri" w:cs="Calibri" w:eastAsia="Calibri" w:hAnsi="Calibri"/>
                <w:color w:val="00206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2060"/>
                <w:rtl w:val="0"/>
              </w:rPr>
              <w:t xml:space="preserve">Closing Date: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F">
            <w:pPr>
              <w:ind w:left="0"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8th October 2026</w:t>
            </w:r>
          </w:p>
        </w:tc>
      </w:tr>
    </w:tbl>
    <w:p w:rsidR="00000000" w:rsidDel="00000000" w:rsidP="00000000" w:rsidRDefault="00000000" w:rsidRPr="00000000" w14:paraId="00000010">
      <w:pPr>
        <w:ind w:left="0" w:hanging="2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ind w:left="0" w:hanging="2"/>
        <w:rPr>
          <w:rFonts w:ascii="Calibri" w:cs="Calibri" w:eastAsia="Calibri" w:hAnsi="Calibri"/>
          <w:b w:val="1"/>
          <w:bCs w:val="1"/>
          <w:color w:val="00206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2060"/>
          <w:rtl w:val="0"/>
        </w:rPr>
        <w:t xml:space="preserve">Summary:</w:t>
      </w:r>
    </w:p>
    <w:p w:rsidR="00000000" w:rsidDel="00000000" w:rsidP="00000000" w:rsidRDefault="00000000" w:rsidRPr="00000000" w14:paraId="00000012">
      <w:pPr>
        <w:ind w:left="0" w:hanging="2"/>
        <w:rPr>
          <w:rFonts w:ascii="Calibri" w:cs="Calibri" w:eastAsia="Calibri" w:hAnsi="Calibri"/>
          <w:b w:val="1"/>
          <w:bCs w:val="1"/>
          <w:color w:val="00206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widowControl w:val="0"/>
        <w:spacing w:line="276" w:lineRule="auto"/>
        <w:ind w:left="0" w:hanging="2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The </w:t>
      </w:r>
      <w:hyperlink r:id="rId8">
        <w:r w:rsidDel="00000000" w:rsidR="00000000" w:rsidRPr="00000000">
          <w:rPr>
            <w:rFonts w:ascii="Calibri" w:cs="Calibri" w:eastAsia="Calibri" w:hAnsi="Calibri"/>
            <w:color w:val="1155cc"/>
            <w:u w:val="single"/>
            <w:rtl w:val="0"/>
          </w:rPr>
          <w:t xml:space="preserve">Faculty of Social Sciences</w:t>
        </w:r>
      </w:hyperlink>
      <w:r w:rsidDel="00000000" w:rsidR="00000000" w:rsidRPr="00000000">
        <w:rPr>
          <w:rFonts w:ascii="Calibri" w:cs="Calibri" w:eastAsia="Calibri" w:hAnsi="Calibri"/>
          <w:rtl w:val="0"/>
        </w:rPr>
        <w:t xml:space="preserve"> at the University of Sheffield welcomes applications from outstanding post-doctoral researchers to the 2027 round of the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 </w:t>
      </w:r>
      <w:hyperlink r:id="rId9">
        <w:r w:rsidDel="00000000" w:rsidR="00000000" w:rsidRPr="00000000">
          <w:rPr>
            <w:rFonts w:ascii="Calibri" w:cs="Calibri" w:eastAsia="Calibri" w:hAnsi="Calibri"/>
            <w:color w:val="1155cc"/>
            <w:u w:val="single"/>
            <w:rtl w:val="0"/>
          </w:rPr>
          <w:t xml:space="preserve">Leverhulme Trust Early Career Fellowship</w:t>
        </w:r>
      </w:hyperlink>
      <w:r w:rsidDel="00000000" w:rsidR="00000000" w:rsidRPr="00000000">
        <w:rPr>
          <w:rFonts w:ascii="Calibri" w:cs="Calibri" w:eastAsia="Calibri" w:hAnsi="Calibri"/>
          <w:rtl w:val="0"/>
        </w:rPr>
        <w:t xml:space="preserve"> scheme. </w:t>
      </w:r>
    </w:p>
    <w:p w:rsidR="00000000" w:rsidDel="00000000" w:rsidP="00000000" w:rsidRDefault="00000000" w:rsidRPr="00000000" w14:paraId="00000014">
      <w:pPr>
        <w:widowControl w:val="0"/>
        <w:spacing w:line="276" w:lineRule="auto"/>
        <w:ind w:left="0" w:hanging="2"/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ind w:left="0" w:hanging="2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The Faculty of Social Sciences is supporting applications for this scheme in the following departments, schools and institutes:</w:t>
      </w:r>
    </w:p>
    <w:p w:rsidR="00000000" w:rsidDel="00000000" w:rsidP="00000000" w:rsidRDefault="00000000" w:rsidRPr="00000000" w14:paraId="00000016">
      <w:pPr>
        <w:ind w:left="0" w:hanging="2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ind w:left="0" w:hanging="2"/>
        <w:rPr>
          <w:rFonts w:ascii="Calibri" w:cs="Calibri" w:eastAsia="Calibri" w:hAnsi="Calibri"/>
        </w:rPr>
      </w:pPr>
      <w:hyperlink r:id="rId10">
        <w:r w:rsidDel="00000000" w:rsidR="00000000" w:rsidRPr="00000000">
          <w:rPr>
            <w:rFonts w:ascii="Calibri" w:cs="Calibri" w:eastAsia="Calibri" w:hAnsi="Calibri"/>
            <w:color w:val="1155cc"/>
            <w:u w:val="single"/>
            <w:rtl w:val="0"/>
          </w:rPr>
          <w:t xml:space="preserve">School of Architecture and Landscape</w:t>
        </w:r>
      </w:hyperlink>
      <w:r w:rsidDel="00000000" w:rsidR="00000000" w:rsidRPr="00000000">
        <w:rPr>
          <w:rFonts w:ascii="Calibri" w:cs="Calibri" w:eastAsia="Calibri" w:hAnsi="Calibri"/>
          <w:rtl w:val="0"/>
        </w:rPr>
        <w:t xml:space="preserve"> </w:t>
      </w:r>
    </w:p>
    <w:p w:rsidR="00000000" w:rsidDel="00000000" w:rsidP="00000000" w:rsidRDefault="00000000" w:rsidRPr="00000000" w14:paraId="00000018">
      <w:pPr>
        <w:ind w:left="0" w:hanging="2"/>
        <w:rPr>
          <w:rFonts w:ascii="Calibri" w:cs="Calibri" w:eastAsia="Calibri" w:hAnsi="Calibri"/>
        </w:rPr>
      </w:pPr>
      <w:hyperlink r:id="rId11">
        <w:r w:rsidDel="00000000" w:rsidR="00000000" w:rsidRPr="00000000">
          <w:rPr>
            <w:rFonts w:ascii="Calibri" w:cs="Calibri" w:eastAsia="Calibri" w:hAnsi="Calibri"/>
            <w:color w:val="1155cc"/>
            <w:u w:val="single"/>
            <w:rtl w:val="0"/>
          </w:rPr>
          <w:t xml:space="preserve">School of Economics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ind w:left="0" w:hanging="2"/>
        <w:rPr>
          <w:rFonts w:ascii="Calibri" w:cs="Calibri" w:eastAsia="Calibri" w:hAnsi="Calibri"/>
        </w:rPr>
      </w:pPr>
      <w:hyperlink r:id="rId12">
        <w:r w:rsidDel="00000000" w:rsidR="00000000" w:rsidRPr="00000000">
          <w:rPr>
            <w:rFonts w:ascii="Calibri" w:cs="Calibri" w:eastAsia="Calibri" w:hAnsi="Calibri"/>
            <w:color w:val="1155cc"/>
            <w:u w:val="single"/>
            <w:rtl w:val="0"/>
          </w:rPr>
          <w:t xml:space="preserve">School of Education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ind w:left="0" w:hanging="2"/>
        <w:rPr>
          <w:rFonts w:ascii="Calibri" w:cs="Calibri" w:eastAsia="Calibri" w:hAnsi="Calibri"/>
        </w:rPr>
      </w:pPr>
      <w:hyperlink r:id="rId13">
        <w:r w:rsidDel="00000000" w:rsidR="00000000" w:rsidRPr="00000000">
          <w:rPr>
            <w:rFonts w:ascii="Calibri" w:cs="Calibri" w:eastAsia="Calibri" w:hAnsi="Calibri"/>
            <w:color w:val="1155cc"/>
            <w:u w:val="single"/>
            <w:rtl w:val="0"/>
          </w:rPr>
          <w:t xml:space="preserve">School of Geography and Planning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ind w:left="0" w:hanging="2"/>
        <w:rPr>
          <w:rFonts w:ascii="Calibri" w:cs="Calibri" w:eastAsia="Calibri" w:hAnsi="Calibri"/>
        </w:rPr>
      </w:pPr>
      <w:hyperlink r:id="rId14">
        <w:r w:rsidDel="00000000" w:rsidR="00000000" w:rsidRPr="00000000">
          <w:rPr>
            <w:rFonts w:ascii="Calibri" w:cs="Calibri" w:eastAsia="Calibri" w:hAnsi="Calibri"/>
            <w:color w:val="1155cc"/>
            <w:u w:val="single"/>
            <w:rtl w:val="0"/>
          </w:rPr>
          <w:t xml:space="preserve">School of Information, Journalism and Communication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ind w:left="0" w:hanging="2"/>
        <w:rPr>
          <w:rFonts w:ascii="Calibri" w:cs="Calibri" w:eastAsia="Calibri" w:hAnsi="Calibri"/>
        </w:rPr>
      </w:pPr>
      <w:hyperlink r:id="rId15">
        <w:r w:rsidDel="00000000" w:rsidR="00000000" w:rsidRPr="00000000">
          <w:rPr>
            <w:rFonts w:ascii="Calibri" w:cs="Calibri" w:eastAsia="Calibri" w:hAnsi="Calibri"/>
            <w:color w:val="1155cc"/>
            <w:u w:val="single"/>
            <w:rtl w:val="0"/>
          </w:rPr>
          <w:t xml:space="preserve">Management School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ind w:left="0" w:hanging="2"/>
        <w:rPr>
          <w:rFonts w:ascii="Calibri" w:cs="Calibri" w:eastAsia="Calibri" w:hAnsi="Calibri"/>
        </w:rPr>
      </w:pPr>
      <w:hyperlink r:id="rId16">
        <w:r w:rsidDel="00000000" w:rsidR="00000000" w:rsidRPr="00000000">
          <w:rPr>
            <w:rFonts w:ascii="Calibri" w:cs="Calibri" w:eastAsia="Calibri" w:hAnsi="Calibri"/>
            <w:color w:val="1155cc"/>
            <w:u w:val="single"/>
            <w:rtl w:val="0"/>
          </w:rPr>
          <w:t xml:space="preserve">School of Sociological Studies, Politics and International Relations</w:t>
        </w:r>
      </w:hyperlink>
      <w:r w:rsidDel="00000000" w:rsidR="00000000" w:rsidRPr="00000000">
        <w:rPr>
          <w:rFonts w:ascii="Calibri" w:cs="Calibri" w:eastAsia="Calibri" w:hAnsi="Calibri"/>
          <w:rtl w:val="0"/>
        </w:rPr>
        <w:t xml:space="preserve">  </w:t>
      </w:r>
    </w:p>
    <w:p w:rsidR="00000000" w:rsidDel="00000000" w:rsidP="00000000" w:rsidRDefault="00000000" w:rsidRPr="00000000" w14:paraId="0000001E">
      <w:pPr>
        <w:ind w:left="0" w:hanging="2"/>
        <w:rPr>
          <w:rFonts w:ascii="Calibri" w:cs="Calibri" w:eastAsia="Calibri" w:hAnsi="Calibri"/>
        </w:rPr>
      </w:pPr>
      <w:hyperlink r:id="rId17">
        <w:r w:rsidDel="00000000" w:rsidR="00000000" w:rsidRPr="00000000">
          <w:rPr>
            <w:rFonts w:ascii="Calibri" w:cs="Calibri" w:eastAsia="Calibri" w:hAnsi="Calibri"/>
            <w:color w:val="1155cc"/>
            <w:u w:val="single"/>
            <w:rtl w:val="0"/>
          </w:rPr>
          <w:t xml:space="preserve">Urban Institute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ind w:left="0" w:hanging="2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ind w:left="0" w:hanging="2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You can find out more about a department/school/institute, and their specific research interests, by following the links above and exploring the ‘Research’ pages. </w:t>
      </w:r>
    </w:p>
    <w:p w:rsidR="00000000" w:rsidDel="00000000" w:rsidP="00000000" w:rsidRDefault="00000000" w:rsidRPr="00000000" w14:paraId="00000021">
      <w:pPr>
        <w:ind w:left="0" w:hanging="2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after="160" w:line="259" w:lineRule="auto"/>
        <w:ind w:left="0" w:hanging="2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We welcome 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Expressions of Interest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from outstanding early career researchers, who meet the eligibility criteria of the Leverhulme Trust Early Career Fellowship Scheme, and whose research interests align with the relevant department/school/institute above. Specifically, we seek candidates with an excellent academic record; a strong publications profile; and innovative and ambitious research ideas. </w:t>
      </w:r>
    </w:p>
    <w:p w:rsidR="00000000" w:rsidDel="00000000" w:rsidP="00000000" w:rsidRDefault="00000000" w:rsidRPr="00000000" w14:paraId="00000023">
      <w:pPr>
        <w:spacing w:after="160" w:line="259" w:lineRule="auto"/>
        <w:ind w:left="0" w:hanging="2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Expressions of Interest should consist of the following:</w:t>
      </w:r>
    </w:p>
    <w:p w:rsidR="00000000" w:rsidDel="00000000" w:rsidP="00000000" w:rsidRDefault="00000000" w:rsidRPr="00000000" w14:paraId="00000024">
      <w:pPr>
        <w:numPr>
          <w:ilvl w:val="0"/>
          <w:numId w:val="2"/>
        </w:numPr>
        <w:spacing w:line="259" w:lineRule="auto"/>
        <w:ind w:left="0" w:hanging="2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Curriculum Vitae (max. 2 pages)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– including academic qualifications (with degree outcomes specified), research record (publications, presentations, impact, research leadership if appropriate) and current salary;</w:t>
      </w:r>
    </w:p>
    <w:p w:rsidR="00000000" w:rsidDel="00000000" w:rsidP="00000000" w:rsidRDefault="00000000" w:rsidRPr="00000000" w14:paraId="00000025">
      <w:pPr>
        <w:numPr>
          <w:ilvl w:val="0"/>
          <w:numId w:val="2"/>
        </w:numPr>
        <w:spacing w:line="259" w:lineRule="auto"/>
        <w:ind w:left="0" w:hanging="2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Outline research proposal (max. 2 pages)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– indicating originality and contribution to the discipline, theoretical contexts, methods, resources and planned outputs;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numPr>
          <w:ilvl w:val="0"/>
          <w:numId w:val="2"/>
        </w:numPr>
        <w:spacing w:line="259" w:lineRule="auto"/>
        <w:ind w:left="0" w:hanging="2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Research relevant to your proposal being carried out in the host department (max. 200 words)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– Highlight how your proposal aligns with department/school/institute research interests and the interests of existing staff. Within this section please state the department/school/institute you are applying to, your discipline, and identify a potential mentor. To find a potential mentor, please consult the relevant staff pages of the school/department/institute website (linked above) and use the contact details there.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numPr>
          <w:ilvl w:val="0"/>
          <w:numId w:val="2"/>
        </w:numPr>
        <w:spacing w:after="160" w:line="259" w:lineRule="auto"/>
        <w:ind w:left="0" w:hanging="2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Eligibility statement (max. 200 words)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– confirm on what basis you are eligible for the 2027 scheme.  For the full eligibility criteria, please see the details on this </w:t>
      </w:r>
      <w:hyperlink r:id="rId18">
        <w:r w:rsidDel="00000000" w:rsidR="00000000" w:rsidRPr="00000000">
          <w:rPr>
            <w:rFonts w:ascii="Calibri" w:cs="Calibri" w:eastAsia="Calibri" w:hAnsi="Calibri"/>
            <w:color w:val="1155cc"/>
            <w:u w:val="single"/>
            <w:rtl w:val="0"/>
          </w:rPr>
          <w:t xml:space="preserve">page</w:t>
        </w:r>
      </w:hyperlink>
      <w:r w:rsidDel="00000000" w:rsidR="00000000" w:rsidRPr="00000000">
        <w:rPr>
          <w:rFonts w:ascii="Calibri" w:cs="Calibri" w:eastAsia="Calibri" w:hAnsi="Calibri"/>
          <w:rtl w:val="0"/>
        </w:rPr>
        <w:t xml:space="preserve">. It is your responsibility to confirm your eligibility.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numPr>
          <w:ilvl w:val="0"/>
          <w:numId w:val="2"/>
        </w:numPr>
        <w:spacing w:after="160" w:line="259" w:lineRule="auto"/>
        <w:ind w:left="0" w:hanging="2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Details of international travel/fieldwork plans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- If your proposal includes international travel and/or fieldwork, please include the following detail;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numPr>
          <w:ilvl w:val="0"/>
          <w:numId w:val="1"/>
        </w:numPr>
        <w:spacing w:line="259" w:lineRule="auto"/>
        <w:ind w:left="144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Exact location(s) </w:t>
      </w:r>
    </w:p>
    <w:p w:rsidR="00000000" w:rsidDel="00000000" w:rsidP="00000000" w:rsidRDefault="00000000" w:rsidRPr="00000000" w14:paraId="0000002A">
      <w:pPr>
        <w:numPr>
          <w:ilvl w:val="0"/>
          <w:numId w:val="1"/>
        </w:numPr>
        <w:spacing w:line="259" w:lineRule="auto"/>
        <w:ind w:left="144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Number of trips</w:t>
      </w:r>
    </w:p>
    <w:p w:rsidR="00000000" w:rsidDel="00000000" w:rsidP="00000000" w:rsidRDefault="00000000" w:rsidRPr="00000000" w14:paraId="0000002B">
      <w:pPr>
        <w:numPr>
          <w:ilvl w:val="0"/>
          <w:numId w:val="1"/>
        </w:numPr>
        <w:spacing w:line="259" w:lineRule="auto"/>
        <w:ind w:left="144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Duration of each trip</w:t>
      </w:r>
    </w:p>
    <w:p w:rsidR="00000000" w:rsidDel="00000000" w:rsidP="00000000" w:rsidRDefault="00000000" w:rsidRPr="00000000" w14:paraId="0000002C">
      <w:pPr>
        <w:numPr>
          <w:ilvl w:val="0"/>
          <w:numId w:val="1"/>
        </w:numPr>
        <w:spacing w:line="259" w:lineRule="auto"/>
        <w:ind w:left="1440" w:hanging="360"/>
        <w:rPr/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Which month of the project the trip(s) will likely occur </w:t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after="160" w:line="259" w:lineRule="auto"/>
        <w:ind w:left="0" w:hanging="2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Expressions of Interest should be sent as a single PDF document to Madeleine Cook (email: built-environment-research-hub@sheffield.ac.uk) by 8th October 2026.</w:t>
      </w:r>
    </w:p>
    <w:p w:rsidR="00000000" w:rsidDel="00000000" w:rsidP="00000000" w:rsidRDefault="00000000" w:rsidRPr="00000000" w14:paraId="0000002E">
      <w:pPr>
        <w:spacing w:after="160" w:line="259" w:lineRule="auto"/>
        <w:ind w:left="0" w:hanging="2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Selection decisions will be communicated to applicants by 20th November 2026. </w:t>
      </w:r>
    </w:p>
    <w:p w:rsidR="00000000" w:rsidDel="00000000" w:rsidP="00000000" w:rsidRDefault="00000000" w:rsidRPr="00000000" w14:paraId="0000002F">
      <w:pPr>
        <w:spacing w:after="160" w:line="259" w:lineRule="auto"/>
        <w:ind w:left="0" w:hanging="2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Selected candidates will be supported in developing their application for a Fellowship, leading up to the submission of applications to the Leverhulme Trust by the scheme deadline of 18th February 2027. </w:t>
      </w:r>
    </w:p>
    <w:p w:rsidR="00000000" w:rsidDel="00000000" w:rsidP="00000000" w:rsidRDefault="00000000" w:rsidRPr="00000000" w14:paraId="00000030">
      <w:pPr>
        <w:spacing w:after="160" w:line="259" w:lineRule="auto"/>
        <w:ind w:left="0" w:hanging="2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For enquiries about this opportunity please contact the Built Environment Research Hub on the above email address in the first instance.</w:t>
      </w:r>
    </w:p>
    <w:p w:rsidR="00000000" w:rsidDel="00000000" w:rsidP="00000000" w:rsidRDefault="00000000" w:rsidRPr="00000000" w14:paraId="00000031">
      <w:pPr>
        <w:widowControl w:val="0"/>
        <w:spacing w:line="276" w:lineRule="auto"/>
        <w:ind w:left="0" w:hanging="2"/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ind w:left="0" w:hanging="2"/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720" w:top="720" w:left="720" w:right="72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Georgia"/>
  <w:font w:name="Arial"/>
  <w:font w:name="Calibri"/>
  <w:font w:name="TUOS Blake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65" w:hanging="360"/>
      </w:pPr>
      <w:rPr>
        <w:rFonts w:ascii="Arial" w:cs="Arial" w:eastAsia="Arial" w:hAnsi="Arial"/>
        <w:b w:val="1"/>
        <w:bCs w:val="1"/>
      </w:rPr>
    </w:lvl>
    <w:lvl w:ilvl="1">
      <w:start w:val="1"/>
      <w:numFmt w:val="lowerLetter"/>
      <w:lvlText w:val="%2."/>
      <w:lvlJc w:val="left"/>
      <w:pPr>
        <w:ind w:left="1485" w:hanging="360"/>
      </w:pPr>
      <w:rPr/>
    </w:lvl>
    <w:lvl w:ilvl="2">
      <w:start w:val="1"/>
      <w:numFmt w:val="lowerRoman"/>
      <w:lvlText w:val="%3."/>
      <w:lvlJc w:val="right"/>
      <w:pPr>
        <w:ind w:left="2205" w:hanging="180"/>
      </w:pPr>
      <w:rPr/>
    </w:lvl>
    <w:lvl w:ilvl="3">
      <w:start w:val="1"/>
      <w:numFmt w:val="decimal"/>
      <w:lvlText w:val="%4."/>
      <w:lvlJc w:val="left"/>
      <w:pPr>
        <w:ind w:left="2925" w:hanging="360"/>
      </w:pPr>
      <w:rPr/>
    </w:lvl>
    <w:lvl w:ilvl="4">
      <w:start w:val="1"/>
      <w:numFmt w:val="lowerLetter"/>
      <w:lvlText w:val="%5."/>
      <w:lvlJc w:val="left"/>
      <w:pPr>
        <w:ind w:left="3645" w:hanging="360"/>
      </w:pPr>
      <w:rPr/>
    </w:lvl>
    <w:lvl w:ilvl="5">
      <w:start w:val="1"/>
      <w:numFmt w:val="lowerRoman"/>
      <w:lvlText w:val="%6."/>
      <w:lvlJc w:val="right"/>
      <w:pPr>
        <w:ind w:left="4365" w:hanging="180"/>
      </w:pPr>
      <w:rPr/>
    </w:lvl>
    <w:lvl w:ilvl="6">
      <w:start w:val="1"/>
      <w:numFmt w:val="decimal"/>
      <w:lvlText w:val="%7."/>
      <w:lvlJc w:val="left"/>
      <w:pPr>
        <w:ind w:left="5085" w:hanging="360"/>
      </w:pPr>
      <w:rPr/>
    </w:lvl>
    <w:lvl w:ilvl="7">
      <w:start w:val="1"/>
      <w:numFmt w:val="lowerLetter"/>
      <w:lvlText w:val="%8."/>
      <w:lvlJc w:val="left"/>
      <w:pPr>
        <w:ind w:left="5805" w:hanging="360"/>
      </w:pPr>
      <w:rPr/>
    </w:lvl>
    <w:lvl w:ilvl="8">
      <w:start w:val="1"/>
      <w:numFmt w:val="lowerRoman"/>
      <w:lvlText w:val="%9."/>
      <w:lvlJc w:val="right"/>
      <w:pPr>
        <w:ind w:left="6525" w:hanging="18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TUOS Blake" w:cs="TUOS Blake" w:eastAsia="TUOS Blake" w:hAnsi="TUOS Blake"/>
        <w:sz w:val="22"/>
        <w:szCs w:val="22"/>
        <w:lang w:val="en_GB"/>
      </w:rPr>
    </w:rPrDefault>
    <w:pPrDefault>
      <w:pPr>
        <w:ind w:hanging="1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/>
    <w:rPr>
      <w:rFonts w:ascii="Times New Roman" w:cs="Times New Roman" w:eastAsia="Times New Roman" w:hAnsi="Times New Roman"/>
      <w:b w:val="1"/>
      <w:bCs w:val="1"/>
      <w:sz w:val="27"/>
      <w:szCs w:val="27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TableGrid">
    <w:name w:val="Table Grid"/>
    <w:basedOn w:val="TableNormal"/>
    <w:pPr>
      <w:suppressAutoHyphens w:val="1"/>
      <w:spacing w:line="1" w:lineRule="atLeast"/>
      <w:ind w:left="-1" w:leftChars="-1" w:hangingChars="1"/>
      <w:textDirection w:val="btLr"/>
      <w:textAlignment w:val="top"/>
      <w:outlineLvl w:val="0"/>
    </w:pPr>
    <w:rPr>
      <w:position w:val="-1"/>
    </w:rPr>
    <w:tblPr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  <w:insideV w:color="000000" w:space="0" w:sz="4" w:val="single"/>
      </w:tblBorders>
    </w:tblPr>
  </w:style>
  <w:style w:type="paragraph" w:styleId="BalloonText">
    <w:name w:val="Balloon Text"/>
    <w:basedOn w:val="Normal"/>
    <w:rPr>
      <w:rFonts w:ascii="Tahoma" w:cs="Tahoma" w:hAnsi="Tahoma"/>
      <w:sz w:val="16"/>
      <w:szCs w:val="16"/>
    </w:rPr>
  </w:style>
  <w:style w:type="character" w:styleId="BalloonTextChar" w:customStyle="1">
    <w:name w:val="Balloon Text Char"/>
    <w:rPr>
      <w:rFonts w:ascii="Tahoma" w:cs="Tahoma" w:hAnsi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MediumGrid1-Accent21" w:customStyle="1">
    <w:name w:val="Medium Grid 1 - Accent 21"/>
    <w:basedOn w:val="Normal"/>
    <w:pPr>
      <w:ind w:left="720"/>
      <w:contextualSpacing w:val="1"/>
    </w:pPr>
  </w:style>
  <w:style w:type="character" w:styleId="Heading3Char" w:customStyle="1">
    <w:name w:val="Heading 3 Char"/>
    <w:rPr>
      <w:b w:val="1"/>
      <w:bCs w:val="1"/>
      <w:w w:val="100"/>
      <w:position w:val="-1"/>
      <w:sz w:val="27"/>
      <w:szCs w:val="27"/>
      <w:effect w:val="none"/>
      <w:vertAlign w:val="baseline"/>
      <w:cs w:val="0"/>
      <w:em w:val="none"/>
    </w:rPr>
  </w:style>
  <w:style w:type="paragraph" w:styleId="NormalWeb">
    <w:name w:val="Normal (Web)"/>
    <w:basedOn w:val="Normal"/>
    <w:qFormat w:val="1"/>
    <w:pPr>
      <w:spacing w:after="100" w:afterAutospacing="1" w:before="100" w:beforeAutospacing="1"/>
    </w:pPr>
    <w:rPr>
      <w:rFonts w:ascii="Times New Roman" w:eastAsia="Times New Roman" w:hAnsi="Times New Roman"/>
      <w:sz w:val="24"/>
      <w:szCs w:val="24"/>
    </w:rPr>
  </w:style>
  <w:style w:type="paragraph" w:styleId="Header">
    <w:name w:val="header"/>
    <w:basedOn w:val="Normal"/>
  </w:style>
  <w:style w:type="character" w:styleId="HeaderChar" w:customStyle="1">
    <w:name w:val="Header Char"/>
    <w:rPr>
      <w:rFonts w:ascii="TUOS Blake" w:hAnsi="TUOS Blake"/>
      <w:w w:val="100"/>
      <w:position w:val="-1"/>
      <w:sz w:val="22"/>
      <w:szCs w:val="22"/>
      <w:effect w:val="none"/>
      <w:vertAlign w:val="baseline"/>
      <w:cs w:val="0"/>
      <w:em w:val="none"/>
    </w:rPr>
  </w:style>
  <w:style w:type="paragraph" w:styleId="Footer">
    <w:name w:val="footer"/>
    <w:basedOn w:val="Normal"/>
  </w:style>
  <w:style w:type="character" w:styleId="FooterChar" w:customStyle="1">
    <w:name w:val="Footer Char"/>
    <w:rPr>
      <w:rFonts w:ascii="TUOS Blake" w:hAnsi="TUOS Blake"/>
      <w:w w:val="100"/>
      <w:position w:val="-1"/>
      <w:sz w:val="22"/>
      <w:szCs w:val="22"/>
      <w:effect w:val="none"/>
      <w:vertAlign w:val="baseline"/>
      <w:cs w:val="0"/>
      <w:em w:val="none"/>
    </w:rPr>
  </w:style>
  <w:style w:type="character" w:styleId="CommentReference">
    <w:name w:val="annotation reference"/>
    <w:rPr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CommentText">
    <w:name w:val="annotation text"/>
    <w:basedOn w:val="Normal"/>
    <w:rPr>
      <w:sz w:val="20"/>
      <w:szCs w:val="20"/>
    </w:rPr>
  </w:style>
  <w:style w:type="character" w:styleId="CommentTextChar" w:customStyle="1">
    <w:name w:val="Comment Text Char"/>
    <w:rPr>
      <w:rFonts w:ascii="TUOS Blake" w:hAnsi="TUOS Blake"/>
      <w:w w:val="100"/>
      <w:position w:val="-1"/>
      <w:effect w:val="none"/>
      <w:vertAlign w:val="baseline"/>
      <w:cs w:val="0"/>
      <w:em w:val="none"/>
      <w:lang w:eastAsia="zh-CN"/>
    </w:rPr>
  </w:style>
  <w:style w:type="paragraph" w:styleId="CommentSubject">
    <w:name w:val="annotation subject"/>
    <w:basedOn w:val="CommentText"/>
    <w:next w:val="CommentText"/>
    <w:rPr>
      <w:b w:val="1"/>
      <w:bCs w:val="1"/>
    </w:rPr>
  </w:style>
  <w:style w:type="character" w:styleId="CommentSubjectChar" w:customStyle="1">
    <w:name w:val="Comment Subject Char"/>
    <w:rPr>
      <w:rFonts w:ascii="TUOS Blake" w:hAnsi="TUOS Blake"/>
      <w:b w:val="1"/>
      <w:bCs w:val="1"/>
      <w:w w:val="100"/>
      <w:position w:val="-1"/>
      <w:effect w:val="none"/>
      <w:vertAlign w:val="baseline"/>
      <w:cs w:val="0"/>
      <w:em w:val="none"/>
      <w:lang w:eastAsia="zh-CN"/>
    </w:rPr>
  </w:style>
  <w:style w:type="character" w:styleId="Hyperlink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character" w:styleId="FollowedHyperlink">
    <w:name w:val="FollowedHyperlink"/>
    <w:rPr>
      <w:color w:val="800080"/>
      <w:w w:val="100"/>
      <w:position w:val="-1"/>
      <w:u w:val="single"/>
      <w:effect w:val="none"/>
      <w:vertAlign w:val="baseline"/>
      <w:cs w:val="0"/>
      <w:em w:val="none"/>
    </w:rPr>
  </w:style>
  <w:style w:type="table" w:styleId="a" w:customStyle="1">
    <w:basedOn w:val="TableNormal"/>
    <w:tblPr>
      <w:tblStyleRowBandSize w:val="1"/>
      <w:tblStyleColBandSize w:val="1"/>
    </w:tblPr>
  </w:style>
  <w:style w:type="table" w:styleId="a0" w:customStyle="1">
    <w:basedOn w:val="TableNormal"/>
    <w:tblPr>
      <w:tblStyleRowBandSize w:val="1"/>
      <w:tblStyleColBandSize w:val="1"/>
    </w:tblPr>
  </w:style>
  <w:style w:type="table" w:styleId="a1" w:customStyle="1">
    <w:basedOn w:val="TableNormal"/>
    <w:tblPr>
      <w:tblStyleRowBandSize w:val="1"/>
      <w:tblStyleColBandSize w:val="1"/>
    </w:tblPr>
  </w:style>
  <w:style w:type="table" w:styleId="a2" w:customStyle="1">
    <w:basedOn w:val="TableNormal"/>
    <w:tblPr>
      <w:tblStyleRowBandSize w:val="1"/>
      <w:tblStyleColBandSize w:val="1"/>
    </w:tblPr>
  </w:style>
  <w:style w:type="table" w:styleId="a3" w:customStyle="1">
    <w:basedOn w:val="TableNormal"/>
    <w:tblPr>
      <w:tblStyleRowBandSize w:val="1"/>
      <w:tblStyleColBandSize w:val="1"/>
    </w:tblPr>
  </w:style>
  <w:style w:type="table" w:styleId="a4" w:customStyle="1">
    <w:basedOn w:val="TableNormal"/>
    <w:tblPr>
      <w:tblStyleRowBandSize w:val="1"/>
      <w:tblStyleColBandSize w:val="1"/>
    </w:tblPr>
  </w:style>
  <w:style w:type="table" w:styleId="a5" w:customStyle="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6" w:customStyle="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7" w:customStyle="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8" w:customStyle="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9" w:customStyle="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a" w:customStyle="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">
    <w:basedOn w:val="TableNormal"/>
    <w:pPr>
      <w:ind w:left="0"/>
    </w:pPr>
    <w:rPr>
      <w:vertAlign w:val="baseline"/>
    </w:rPr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">
    <w:basedOn w:val="TableNormal"/>
    <w:pPr>
      <w:ind w:left="0"/>
    </w:pPr>
    <w:rPr>
      <w:vertAlign w:val="baseline"/>
    </w:rPr>
    <w:tblPr>
      <w:tblStyleRowBandSize w:val="1"/>
      <w:tblStyleColBandSize w:val="1"/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ind w:left="0"/>
    </w:pPr>
    <w:rPr>
      <w:vertAlign w:val="baseline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s://www.sheffield.ac.uk/economics" TargetMode="External"/><Relationship Id="rId10" Type="http://schemas.openxmlformats.org/officeDocument/2006/relationships/hyperlink" Target="https://www.sheffield.ac.uk/architecture-landscape" TargetMode="External"/><Relationship Id="rId13" Type="http://schemas.openxmlformats.org/officeDocument/2006/relationships/hyperlink" Target="https://www.sheffield.ac.uk/geography-planning" TargetMode="External"/><Relationship Id="rId12" Type="http://schemas.openxmlformats.org/officeDocument/2006/relationships/hyperlink" Target="https://sheffield.ac.uk/education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www.leverhulme.ac.uk/early-career-fellowships" TargetMode="External"/><Relationship Id="rId15" Type="http://schemas.openxmlformats.org/officeDocument/2006/relationships/hyperlink" Target="https://sheffield.ac.uk/management" TargetMode="External"/><Relationship Id="rId14" Type="http://schemas.openxmlformats.org/officeDocument/2006/relationships/hyperlink" Target="https://www.sheffield.ac.uk/journalism" TargetMode="External"/><Relationship Id="rId17" Type="http://schemas.openxmlformats.org/officeDocument/2006/relationships/hyperlink" Target="https://www.sheffield.ac.uk/urban-institute" TargetMode="External"/><Relationship Id="rId16" Type="http://schemas.openxmlformats.org/officeDocument/2006/relationships/hyperlink" Target="https://www.sheffield.ac.uk/socstudies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18" Type="http://schemas.openxmlformats.org/officeDocument/2006/relationships/hyperlink" Target="https://www.leverhulme.ac.uk/early-career-fellowships" TargetMode="External"/><Relationship Id="rId7" Type="http://schemas.openxmlformats.org/officeDocument/2006/relationships/image" Target="media/image1.png"/><Relationship Id="rId8" Type="http://schemas.openxmlformats.org/officeDocument/2006/relationships/hyperlink" Target="https://www.sheffield.ac.uk/social-scienc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S6piszuu/ytl/YBoE5Tc92/DFbg==">CgMxLjA4AHIhMU1TZUhVT2NWSGc4VHlxUkJMdVp0SWdXN2Q5Z2kwTDdF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2024-09-17T08:51:00Z</dcterms:created>
  <dc:creator>Ad1awd</dc:creator>
</cp:coreProperties>
</file>